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eastAsia="en-ZA"/>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6D6D91" w:rsidP="00491D29">
      <w:pPr>
        <w:spacing w:after="0" w:line="240" w:lineRule="auto"/>
        <w:ind w:left="1843"/>
        <w:contextualSpacing/>
        <w:rPr>
          <w:rFonts w:ascii="Century Gothic" w:hAnsi="Century Gothic"/>
          <w:b/>
          <w:bCs/>
          <w:color w:val="7F7F7F" w:themeColor="text1" w:themeTint="80"/>
          <w:spacing w:val="40"/>
          <w:szCs w:val="25"/>
        </w:rPr>
      </w:pPr>
      <w:r w:rsidRPr="006D6D91">
        <w:rPr>
          <w:rFonts w:ascii="Century Gothic" w:hAnsi="Century Gothic"/>
          <w:b/>
          <w:bCs/>
          <w:color w:val="7F7F7F" w:themeColor="text1" w:themeTint="80"/>
          <w:spacing w:val="40"/>
          <w:szCs w:val="25"/>
        </w:rPr>
        <w:t>26 SEPTEMBER 2019</w:t>
      </w:r>
    </w:p>
    <w:p w:rsidR="006D6D91" w:rsidRPr="000E515F" w:rsidRDefault="006D6D91" w:rsidP="00491D29">
      <w:pPr>
        <w:spacing w:after="0" w:line="240" w:lineRule="auto"/>
        <w:ind w:left="1843"/>
        <w:contextualSpacing/>
        <w:rPr>
          <w:sz w:val="16"/>
        </w:rPr>
      </w:pPr>
    </w:p>
    <w:p w:rsidR="006D6D91" w:rsidRPr="005B5DF6" w:rsidRDefault="005B5DF6" w:rsidP="00491D29">
      <w:pPr>
        <w:spacing w:after="0" w:line="240" w:lineRule="auto"/>
        <w:ind w:left="1843"/>
        <w:contextualSpacing/>
        <w:rPr>
          <w:rFonts w:ascii="Century Gothic" w:hAnsi="Century Gothic"/>
          <w:b/>
          <w:bCs/>
          <w:color w:val="FF0000"/>
          <w:spacing w:val="40"/>
          <w:sz w:val="24"/>
          <w:szCs w:val="25"/>
        </w:rPr>
      </w:pPr>
      <w:r>
        <w:rPr>
          <w:rFonts w:ascii="Century Gothic" w:hAnsi="Century Gothic"/>
          <w:b/>
          <w:bCs/>
          <w:color w:val="7F7F7F" w:themeColor="text1" w:themeTint="80"/>
          <w:spacing w:val="40"/>
          <w:sz w:val="28"/>
          <w:szCs w:val="25"/>
        </w:rPr>
        <w:t>PAPER 2</w:t>
      </w:r>
      <w:r>
        <w:rPr>
          <w:rFonts w:ascii="Century Gothic" w:hAnsi="Century Gothic"/>
          <w:b/>
          <w:bCs/>
          <w:color w:val="FF0000"/>
          <w:spacing w:val="40"/>
          <w:sz w:val="24"/>
          <w:szCs w:val="25"/>
        </w:rPr>
        <w:t xml:space="preserve"> – </w:t>
      </w:r>
      <w:r w:rsidR="009A5B10">
        <w:rPr>
          <w:rFonts w:ascii="Century Gothic" w:hAnsi="Century Gothic"/>
          <w:b/>
          <w:bCs/>
          <w:color w:val="FF0000"/>
          <w:spacing w:val="40"/>
          <w:sz w:val="24"/>
          <w:szCs w:val="25"/>
        </w:rPr>
        <w:t>MEMORANDUM</w:t>
      </w:r>
    </w:p>
    <w:p w:rsidR="006D6D91" w:rsidRDefault="006D6D91" w:rsidP="00952ED4">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3E67E3" w:rsidRDefault="003E67E3" w:rsidP="003E67E3">
      <w:pPr>
        <w:pStyle w:val="ListParagraph"/>
        <w:numPr>
          <w:ilvl w:val="0"/>
          <w:numId w:val="30"/>
        </w:numPr>
        <w:spacing w:after="0" w:line="240" w:lineRule="auto"/>
        <w:ind w:left="284" w:hanging="284"/>
        <w:jc w:val="both"/>
      </w:pPr>
      <w:r w:rsidRPr="00952ED4">
        <w:t xml:space="preserve">This is </w:t>
      </w:r>
      <w:r w:rsidR="0046209A">
        <w:t>an open</w:t>
      </w:r>
      <w:r w:rsidR="00000AF7">
        <w:t xml:space="preserve"> book paper. Only material listed in the suggested Reading Material circulated by SACAP for this examination will be allowed in the examination room.</w:t>
      </w:r>
    </w:p>
    <w:p w:rsidR="00000AF7" w:rsidRPr="00952ED4" w:rsidRDefault="00000AF7" w:rsidP="00000AF7">
      <w:pPr>
        <w:pStyle w:val="ListParagraph"/>
        <w:numPr>
          <w:ilvl w:val="0"/>
          <w:numId w:val="30"/>
        </w:numPr>
        <w:spacing w:after="0" w:line="240" w:lineRule="auto"/>
        <w:ind w:left="284" w:hanging="284"/>
        <w:jc w:val="both"/>
      </w:pPr>
      <w:r>
        <w:t>C</w:t>
      </w:r>
      <w:r w:rsidRPr="00952ED4">
        <w:t>andidates must answer all questions.</w:t>
      </w:r>
    </w:p>
    <w:p w:rsidR="003E67E3" w:rsidRPr="00952ED4" w:rsidRDefault="0046209A" w:rsidP="003E67E3">
      <w:pPr>
        <w:pStyle w:val="ListParagraph"/>
        <w:numPr>
          <w:ilvl w:val="0"/>
          <w:numId w:val="30"/>
        </w:numPr>
        <w:spacing w:after="0" w:line="240" w:lineRule="auto"/>
        <w:ind w:left="284" w:hanging="284"/>
        <w:jc w:val="both"/>
      </w:pPr>
      <w:r>
        <w:t xml:space="preserve">Total marks for paper 2 </w:t>
      </w:r>
      <w:r w:rsidR="003E67E3" w:rsidRPr="00952ED4">
        <w:tab/>
      </w:r>
      <w:r w:rsidR="003E67E3" w:rsidRPr="00952ED4">
        <w:tab/>
        <w:t>–</w:t>
      </w:r>
      <w:r w:rsidR="003E67E3" w:rsidRPr="00952ED4">
        <w:tab/>
      </w:r>
      <w:r w:rsidR="00226702">
        <w:rPr>
          <w:b/>
        </w:rPr>
        <w:t>150</w:t>
      </w:r>
      <w:r w:rsidR="003E67E3" w:rsidRPr="00952ED4">
        <w:rPr>
          <w:b/>
        </w:rPr>
        <w:t xml:space="preserve"> marks</w:t>
      </w:r>
    </w:p>
    <w:p w:rsidR="003E67E3" w:rsidRPr="00952ED4" w:rsidRDefault="0046209A" w:rsidP="00415E9F">
      <w:pPr>
        <w:pStyle w:val="ListParagraph"/>
        <w:numPr>
          <w:ilvl w:val="0"/>
          <w:numId w:val="30"/>
        </w:numPr>
        <w:spacing w:after="0" w:line="240" w:lineRule="auto"/>
        <w:ind w:left="284" w:hanging="284"/>
        <w:jc w:val="both"/>
      </w:pPr>
      <w:r>
        <w:t>Time allowed for paper 12</w:t>
      </w:r>
      <w:r w:rsidR="003E67E3" w:rsidRPr="00952ED4">
        <w:tab/>
        <w:t>–</w:t>
      </w:r>
      <w:r w:rsidR="003E67E3" w:rsidRPr="00952ED4">
        <w:tab/>
      </w:r>
      <w:r w:rsidR="003E67E3"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Pr="00952ED4">
        <w:rPr>
          <w:b/>
        </w:rPr>
        <w:t>55%</w:t>
      </w:r>
      <w:r w:rsidRPr="00952ED4">
        <w:t xml:space="preserve"> in either paper, </w:t>
      </w:r>
      <w:r w:rsidR="00952ED4" w:rsidRPr="00952ED4">
        <w:t>and</w:t>
      </w:r>
      <w:r w:rsidRPr="00952ED4">
        <w:t xml:space="preserve"> an average of </w:t>
      </w:r>
      <w:r w:rsidRPr="00952ED4">
        <w:rPr>
          <w:b/>
        </w:rPr>
        <w:t>60%</w:t>
      </w:r>
      <w:r w:rsidRPr="00952ED4">
        <w:t xml:space="preserve"> for the two papers combined</w:t>
      </w:r>
    </w:p>
    <w:p w:rsidR="003E67E3" w:rsidRPr="00952ED4" w:rsidRDefault="003E67E3" w:rsidP="003E67E3">
      <w:pPr>
        <w:pStyle w:val="ListParagraph"/>
        <w:numPr>
          <w:ilvl w:val="0"/>
          <w:numId w:val="30"/>
        </w:numPr>
        <w:spacing w:after="0" w:line="240" w:lineRule="auto"/>
        <w:ind w:left="284" w:hanging="284"/>
        <w:jc w:val="both"/>
      </w:pPr>
      <w:r w:rsidRPr="00952ED4">
        <w:t xml:space="preserve">Please ensure that each exam book that you use displays your correct </w:t>
      </w:r>
      <w:r w:rsidRPr="00952ED4">
        <w:rPr>
          <w:b/>
        </w:rPr>
        <w:t>EXAMINATION NUMBER</w:t>
      </w:r>
      <w:r w:rsidR="00491D29">
        <w:t xml:space="preserve"> for identification purposes.</w:t>
      </w:r>
    </w:p>
    <w:p w:rsidR="00952ED4" w:rsidRPr="00952ED4" w:rsidRDefault="00952ED4" w:rsidP="00952ED4">
      <w:pPr>
        <w:pStyle w:val="ListParagraph"/>
        <w:numPr>
          <w:ilvl w:val="0"/>
          <w:numId w:val="30"/>
        </w:numPr>
        <w:spacing w:after="0" w:line="240" w:lineRule="auto"/>
        <w:ind w:left="284" w:hanging="284"/>
        <w:jc w:val="both"/>
      </w:pPr>
      <w:r w:rsidRPr="00952ED4">
        <w:t>No cell phones, programmable calculators, laptops and/or other electronic equipment will be per</w:t>
      </w:r>
      <w:r w:rsidR="00491D29">
        <w:t>mitted in the examination room.</w:t>
      </w:r>
      <w:bookmarkStart w:id="0" w:name="_GoBack"/>
      <w:bookmarkEnd w:id="0"/>
    </w:p>
    <w:p w:rsidR="00B05010" w:rsidRDefault="00B05010"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B05010"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5"/>
        <w:gridCol w:w="8362"/>
        <w:gridCol w:w="573"/>
      </w:tblGrid>
      <w:tr w:rsidR="0047170E" w:rsidTr="0047170E">
        <w:tc>
          <w:tcPr>
            <w:tcW w:w="705" w:type="dxa"/>
            <w:vMerge w:val="restart"/>
          </w:tcPr>
          <w:p w:rsidR="0047170E" w:rsidRDefault="0047170E" w:rsidP="00CB677B">
            <w:pPr>
              <w:contextualSpacing/>
            </w:pPr>
            <w:r>
              <w:t>1.1</w:t>
            </w:r>
          </w:p>
        </w:tc>
        <w:tc>
          <w:tcPr>
            <w:tcW w:w="8362" w:type="dxa"/>
            <w:vAlign w:val="center"/>
          </w:tcPr>
          <w:p w:rsidR="0047170E" w:rsidRDefault="0047170E" w:rsidP="00B27528">
            <w:pPr>
              <w:contextualSpacing/>
              <w:jc w:val="both"/>
            </w:pPr>
            <w:r>
              <w:t>Is it true that every ag</w:t>
            </w:r>
            <w:r w:rsidR="004718C5">
              <w:t>reement constitutes a contract?</w:t>
            </w:r>
          </w:p>
        </w:tc>
        <w:tc>
          <w:tcPr>
            <w:tcW w:w="573" w:type="dxa"/>
            <w:vMerge w:val="restart"/>
          </w:tcPr>
          <w:p w:rsidR="0047170E" w:rsidRDefault="0047170E" w:rsidP="00B27528">
            <w:pPr>
              <w:contextualSpacing/>
              <w:jc w:val="center"/>
            </w:pPr>
            <w:r>
              <w:t>(2)</w:t>
            </w:r>
          </w:p>
        </w:tc>
      </w:tr>
      <w:tr w:rsidR="0047170E" w:rsidTr="0047170E">
        <w:tc>
          <w:tcPr>
            <w:tcW w:w="705" w:type="dxa"/>
            <w:vMerge/>
          </w:tcPr>
          <w:p w:rsidR="0047170E" w:rsidRDefault="0047170E" w:rsidP="00CB677B">
            <w:pPr>
              <w:contextualSpacing/>
            </w:pPr>
          </w:p>
        </w:tc>
        <w:tc>
          <w:tcPr>
            <w:tcW w:w="8362" w:type="dxa"/>
            <w:vAlign w:val="center"/>
          </w:tcPr>
          <w:p w:rsidR="0047170E" w:rsidRDefault="0047170E" w:rsidP="00B27528">
            <w:pPr>
              <w:contextualSpacing/>
              <w:jc w:val="both"/>
            </w:pPr>
            <w:r w:rsidRPr="004272A6">
              <w:rPr>
                <w:color w:val="FF0000"/>
              </w:rPr>
              <w:t>No, not every agreement is a contract</w:t>
            </w:r>
            <w:r>
              <w:rPr>
                <w:color w:val="FF0000"/>
              </w:rPr>
              <w:t>.</w:t>
            </w:r>
          </w:p>
        </w:tc>
        <w:tc>
          <w:tcPr>
            <w:tcW w:w="573" w:type="dxa"/>
            <w:vMerge/>
          </w:tcPr>
          <w:p w:rsidR="0047170E" w:rsidRDefault="0047170E" w:rsidP="00B27528">
            <w:pPr>
              <w:contextualSpacing/>
              <w:jc w:val="center"/>
            </w:pPr>
          </w:p>
        </w:tc>
      </w:tr>
      <w:tr w:rsidR="002B2DE3" w:rsidTr="0047170E">
        <w:tc>
          <w:tcPr>
            <w:tcW w:w="9640" w:type="dxa"/>
            <w:gridSpan w:val="3"/>
          </w:tcPr>
          <w:p w:rsidR="002B2DE3" w:rsidRDefault="002B2DE3" w:rsidP="00B27528">
            <w:pPr>
              <w:contextualSpacing/>
              <w:jc w:val="center"/>
            </w:pPr>
          </w:p>
        </w:tc>
      </w:tr>
      <w:tr w:rsidR="0047170E" w:rsidTr="0047170E">
        <w:tc>
          <w:tcPr>
            <w:tcW w:w="705" w:type="dxa"/>
            <w:vMerge w:val="restart"/>
          </w:tcPr>
          <w:p w:rsidR="0047170E" w:rsidRDefault="0047170E" w:rsidP="002B2DE3">
            <w:pPr>
              <w:contextualSpacing/>
            </w:pPr>
            <w:r>
              <w:t>1.2</w:t>
            </w:r>
          </w:p>
        </w:tc>
        <w:tc>
          <w:tcPr>
            <w:tcW w:w="8362" w:type="dxa"/>
            <w:vAlign w:val="center"/>
          </w:tcPr>
          <w:p w:rsidR="0047170E" w:rsidRDefault="0047170E" w:rsidP="002B2DE3">
            <w:pPr>
              <w:contextualSpacing/>
              <w:jc w:val="both"/>
            </w:pPr>
            <w:r>
              <w:t>When an offer is returned and the original terms have been materially altered, what does this constitute?</w:t>
            </w:r>
          </w:p>
        </w:tc>
        <w:tc>
          <w:tcPr>
            <w:tcW w:w="573" w:type="dxa"/>
            <w:vMerge w:val="restart"/>
          </w:tcPr>
          <w:p w:rsidR="0047170E" w:rsidRDefault="00C304EF" w:rsidP="002B2DE3">
            <w:pPr>
              <w:contextualSpacing/>
              <w:jc w:val="center"/>
            </w:pPr>
            <w:r>
              <w:t>(3</w:t>
            </w:r>
            <w:r w:rsidR="0047170E">
              <w:t>)</w:t>
            </w:r>
          </w:p>
        </w:tc>
      </w:tr>
      <w:tr w:rsidR="0047170E" w:rsidTr="0047170E">
        <w:tc>
          <w:tcPr>
            <w:tcW w:w="705" w:type="dxa"/>
            <w:vMerge/>
          </w:tcPr>
          <w:p w:rsidR="0047170E" w:rsidRDefault="0047170E" w:rsidP="002B2DE3">
            <w:pPr>
              <w:contextualSpacing/>
            </w:pPr>
          </w:p>
        </w:tc>
        <w:tc>
          <w:tcPr>
            <w:tcW w:w="8362" w:type="dxa"/>
            <w:vAlign w:val="center"/>
          </w:tcPr>
          <w:p w:rsidR="0047170E" w:rsidRDefault="0047170E" w:rsidP="002B2DE3">
            <w:pPr>
              <w:contextualSpacing/>
              <w:jc w:val="both"/>
            </w:pPr>
            <w:r w:rsidRPr="00B05010">
              <w:rPr>
                <w:color w:val="FF0000"/>
              </w:rPr>
              <w:t>A counter offer</w:t>
            </w:r>
            <w:r>
              <w:rPr>
                <w:color w:val="FF0000"/>
              </w:rPr>
              <w:t>.</w:t>
            </w:r>
          </w:p>
        </w:tc>
        <w:tc>
          <w:tcPr>
            <w:tcW w:w="573" w:type="dxa"/>
            <w:vMerge/>
          </w:tcPr>
          <w:p w:rsidR="0047170E" w:rsidRDefault="0047170E" w:rsidP="002B2DE3">
            <w:pPr>
              <w:contextualSpacing/>
              <w:jc w:val="center"/>
            </w:pPr>
          </w:p>
        </w:tc>
      </w:tr>
      <w:tr w:rsidR="002B2DE3" w:rsidTr="0047170E">
        <w:tc>
          <w:tcPr>
            <w:tcW w:w="9640" w:type="dxa"/>
            <w:gridSpan w:val="3"/>
          </w:tcPr>
          <w:p w:rsidR="002B2DE3" w:rsidRDefault="002B2DE3" w:rsidP="002B2DE3">
            <w:pPr>
              <w:contextualSpacing/>
              <w:jc w:val="center"/>
            </w:pPr>
          </w:p>
        </w:tc>
      </w:tr>
      <w:tr w:rsidR="0047170E" w:rsidTr="0047170E">
        <w:tc>
          <w:tcPr>
            <w:tcW w:w="705" w:type="dxa"/>
            <w:vMerge w:val="restart"/>
          </w:tcPr>
          <w:p w:rsidR="0047170E" w:rsidRDefault="0047170E" w:rsidP="002B2DE3">
            <w:pPr>
              <w:contextualSpacing/>
            </w:pPr>
            <w:r>
              <w:t>1.3</w:t>
            </w:r>
          </w:p>
        </w:tc>
        <w:tc>
          <w:tcPr>
            <w:tcW w:w="8362" w:type="dxa"/>
            <w:vAlign w:val="center"/>
          </w:tcPr>
          <w:p w:rsidR="0047170E" w:rsidRDefault="0047170E" w:rsidP="002B2DE3">
            <w:pPr>
              <w:contextualSpacing/>
              <w:jc w:val="both"/>
            </w:pPr>
            <w:r>
              <w:t>Provide a definition of the term 'agency'.</w:t>
            </w:r>
          </w:p>
        </w:tc>
        <w:tc>
          <w:tcPr>
            <w:tcW w:w="573" w:type="dxa"/>
            <w:vMerge w:val="restart"/>
          </w:tcPr>
          <w:p w:rsidR="0047170E" w:rsidRDefault="00C304EF" w:rsidP="002B2DE3">
            <w:pPr>
              <w:contextualSpacing/>
              <w:jc w:val="center"/>
            </w:pPr>
            <w:r>
              <w:t>(8</w:t>
            </w:r>
            <w:r w:rsidR="0047170E">
              <w:t>)</w:t>
            </w:r>
          </w:p>
        </w:tc>
      </w:tr>
      <w:tr w:rsidR="0047170E" w:rsidTr="0047170E">
        <w:tc>
          <w:tcPr>
            <w:tcW w:w="705" w:type="dxa"/>
            <w:vMerge/>
          </w:tcPr>
          <w:p w:rsidR="0047170E" w:rsidRDefault="0047170E" w:rsidP="002B2DE3">
            <w:pPr>
              <w:contextualSpacing/>
            </w:pPr>
          </w:p>
        </w:tc>
        <w:tc>
          <w:tcPr>
            <w:tcW w:w="8362" w:type="dxa"/>
            <w:vAlign w:val="center"/>
          </w:tcPr>
          <w:p w:rsidR="0047170E" w:rsidRDefault="0047170E" w:rsidP="0047170E">
            <w:pPr>
              <w:contextualSpacing/>
              <w:jc w:val="both"/>
            </w:pPr>
            <w:r w:rsidRPr="00D8673F">
              <w:rPr>
                <w:color w:val="FF0000"/>
              </w:rPr>
              <w:t xml:space="preserve">The legal position </w:t>
            </w:r>
            <w:r>
              <w:rPr>
                <w:color w:val="FF0000"/>
                <w:vertAlign w:val="superscript"/>
              </w:rPr>
              <w:t>(2)</w:t>
            </w:r>
            <w:r>
              <w:rPr>
                <w:color w:val="FF0000"/>
              </w:rPr>
              <w:t xml:space="preserve"> </w:t>
            </w:r>
            <w:r w:rsidRPr="00D8673F">
              <w:rPr>
                <w:color w:val="FF0000"/>
              </w:rPr>
              <w:t xml:space="preserve">where one person (the agent) is authorised to act with authority on behalf of another </w:t>
            </w:r>
            <w:r>
              <w:rPr>
                <w:color w:val="FF0000"/>
                <w:vertAlign w:val="superscript"/>
              </w:rPr>
              <w:t>(2)</w:t>
            </w:r>
            <w:r>
              <w:rPr>
                <w:color w:val="FF0000"/>
              </w:rPr>
              <w:t xml:space="preserve"> </w:t>
            </w:r>
            <w:r w:rsidRPr="00D8673F">
              <w:rPr>
                <w:color w:val="FF0000"/>
              </w:rPr>
              <w:t xml:space="preserve">(the employer) to create legal relations </w:t>
            </w:r>
            <w:r w:rsidR="00C304EF">
              <w:rPr>
                <w:color w:val="FF0000"/>
                <w:vertAlign w:val="superscript"/>
              </w:rPr>
              <w:t>(2)</w:t>
            </w:r>
            <w:r w:rsidR="00C304EF">
              <w:rPr>
                <w:color w:val="FF0000"/>
              </w:rPr>
              <w:t xml:space="preserve"> </w:t>
            </w:r>
            <w:r w:rsidRPr="00D8673F">
              <w:rPr>
                <w:color w:val="FF0000"/>
              </w:rPr>
              <w:t>with a third party (the contractor)</w:t>
            </w:r>
            <w:r>
              <w:rPr>
                <w:color w:val="FF0000"/>
              </w:rPr>
              <w:t xml:space="preserve"> </w:t>
            </w:r>
            <w:r>
              <w:rPr>
                <w:color w:val="FF0000"/>
                <w:vertAlign w:val="superscript"/>
              </w:rPr>
              <w:t>(2)</w:t>
            </w:r>
            <w:r>
              <w:rPr>
                <w:color w:val="FF0000"/>
              </w:rPr>
              <w:t>.</w:t>
            </w:r>
          </w:p>
        </w:tc>
        <w:tc>
          <w:tcPr>
            <w:tcW w:w="573" w:type="dxa"/>
            <w:vMerge/>
          </w:tcPr>
          <w:p w:rsidR="0047170E" w:rsidRDefault="0047170E" w:rsidP="002B2DE3">
            <w:pPr>
              <w:contextualSpacing/>
              <w:jc w:val="center"/>
            </w:pPr>
          </w:p>
        </w:tc>
      </w:tr>
      <w:tr w:rsidR="00D8673F" w:rsidTr="0047170E">
        <w:tc>
          <w:tcPr>
            <w:tcW w:w="705" w:type="dxa"/>
          </w:tcPr>
          <w:p w:rsidR="00D8673F" w:rsidRDefault="00D8673F" w:rsidP="002B2DE3">
            <w:pPr>
              <w:contextualSpacing/>
            </w:pPr>
          </w:p>
        </w:tc>
        <w:tc>
          <w:tcPr>
            <w:tcW w:w="8362" w:type="dxa"/>
            <w:vAlign w:val="center"/>
          </w:tcPr>
          <w:p w:rsidR="00D8673F" w:rsidRDefault="00D8673F" w:rsidP="002B2DE3">
            <w:pPr>
              <w:contextualSpacing/>
              <w:jc w:val="both"/>
            </w:pPr>
          </w:p>
        </w:tc>
        <w:tc>
          <w:tcPr>
            <w:tcW w:w="573" w:type="dxa"/>
          </w:tcPr>
          <w:p w:rsidR="00D8673F" w:rsidRDefault="00D8673F" w:rsidP="002B2DE3">
            <w:pPr>
              <w:contextualSpacing/>
              <w:jc w:val="center"/>
            </w:pPr>
          </w:p>
        </w:tc>
      </w:tr>
      <w:tr w:rsidR="0047170E" w:rsidTr="0047170E">
        <w:tc>
          <w:tcPr>
            <w:tcW w:w="705" w:type="dxa"/>
            <w:vMerge w:val="restart"/>
          </w:tcPr>
          <w:p w:rsidR="0047170E" w:rsidRDefault="0047170E" w:rsidP="002B2DE3">
            <w:pPr>
              <w:contextualSpacing/>
            </w:pPr>
            <w:r>
              <w:t>1.4</w:t>
            </w:r>
          </w:p>
        </w:tc>
        <w:tc>
          <w:tcPr>
            <w:tcW w:w="8362" w:type="dxa"/>
            <w:vAlign w:val="center"/>
          </w:tcPr>
          <w:p w:rsidR="0047170E" w:rsidRDefault="0047170E" w:rsidP="002B2DE3">
            <w:pPr>
              <w:contextualSpacing/>
              <w:jc w:val="both"/>
            </w:pPr>
            <w:r>
              <w:t>What would a financial institution that has provided finance for a building project under a mortgage bond typically require from the contractor?</w:t>
            </w:r>
          </w:p>
        </w:tc>
        <w:tc>
          <w:tcPr>
            <w:tcW w:w="573" w:type="dxa"/>
            <w:vMerge w:val="restart"/>
          </w:tcPr>
          <w:p w:rsidR="0047170E" w:rsidRDefault="00C304EF" w:rsidP="002B2DE3">
            <w:pPr>
              <w:contextualSpacing/>
              <w:jc w:val="center"/>
            </w:pPr>
            <w:r>
              <w:t>(3</w:t>
            </w:r>
            <w:r w:rsidR="0047170E">
              <w:t>)</w:t>
            </w:r>
          </w:p>
        </w:tc>
      </w:tr>
      <w:tr w:rsidR="0047170E" w:rsidTr="0047170E">
        <w:tc>
          <w:tcPr>
            <w:tcW w:w="705" w:type="dxa"/>
            <w:vMerge/>
          </w:tcPr>
          <w:p w:rsidR="0047170E" w:rsidRDefault="0047170E" w:rsidP="002B2DE3">
            <w:pPr>
              <w:contextualSpacing/>
            </w:pPr>
          </w:p>
        </w:tc>
        <w:tc>
          <w:tcPr>
            <w:tcW w:w="8362" w:type="dxa"/>
            <w:vAlign w:val="center"/>
          </w:tcPr>
          <w:p w:rsidR="0047170E" w:rsidRDefault="0047170E" w:rsidP="002B2DE3">
            <w:pPr>
              <w:contextualSpacing/>
              <w:jc w:val="both"/>
            </w:pPr>
            <w:r>
              <w:rPr>
                <w:color w:val="FF0000"/>
              </w:rPr>
              <w:t xml:space="preserve">A waiver </w:t>
            </w:r>
            <w:r>
              <w:rPr>
                <w:color w:val="FF0000"/>
                <w:vertAlign w:val="superscript"/>
              </w:rPr>
              <w:t>(1)</w:t>
            </w:r>
            <w:r>
              <w:rPr>
                <w:color w:val="FF0000"/>
              </w:rPr>
              <w:t xml:space="preserve"> of the contractor’s lien </w:t>
            </w:r>
            <w:r w:rsidR="00C304EF">
              <w:rPr>
                <w:color w:val="FF0000"/>
                <w:vertAlign w:val="superscript"/>
              </w:rPr>
              <w:t>(2</w:t>
            </w:r>
            <w:r>
              <w:rPr>
                <w:color w:val="FF0000"/>
                <w:vertAlign w:val="superscript"/>
              </w:rPr>
              <w:t>)</w:t>
            </w:r>
          </w:p>
        </w:tc>
        <w:tc>
          <w:tcPr>
            <w:tcW w:w="573" w:type="dxa"/>
            <w:vMerge/>
          </w:tcPr>
          <w:p w:rsidR="0047170E" w:rsidRDefault="0047170E" w:rsidP="002B2DE3">
            <w:pPr>
              <w:contextualSpacing/>
              <w:jc w:val="center"/>
            </w:pPr>
          </w:p>
        </w:tc>
      </w:tr>
      <w:tr w:rsidR="002B2DE3" w:rsidTr="0047170E">
        <w:tc>
          <w:tcPr>
            <w:tcW w:w="9640" w:type="dxa"/>
            <w:gridSpan w:val="3"/>
          </w:tcPr>
          <w:p w:rsidR="002B2DE3" w:rsidRDefault="002B2DE3" w:rsidP="002B2DE3">
            <w:pPr>
              <w:contextualSpacing/>
              <w:jc w:val="center"/>
            </w:pPr>
          </w:p>
        </w:tc>
      </w:tr>
      <w:tr w:rsidR="0047170E" w:rsidTr="0047170E">
        <w:tc>
          <w:tcPr>
            <w:tcW w:w="705" w:type="dxa"/>
            <w:vMerge w:val="restart"/>
          </w:tcPr>
          <w:p w:rsidR="0047170E" w:rsidRDefault="0047170E" w:rsidP="00041560">
            <w:pPr>
              <w:contextualSpacing/>
            </w:pPr>
            <w:r>
              <w:t>1.5</w:t>
            </w:r>
          </w:p>
        </w:tc>
        <w:tc>
          <w:tcPr>
            <w:tcW w:w="8362" w:type="dxa"/>
            <w:vAlign w:val="center"/>
          </w:tcPr>
          <w:p w:rsidR="0047170E" w:rsidRDefault="0047170E" w:rsidP="00041560">
            <w:pPr>
              <w:contextualSpacing/>
              <w:jc w:val="both"/>
            </w:pPr>
            <w:r>
              <w:t>What is the meant when referring to the '</w:t>
            </w:r>
            <w:proofErr w:type="spellStart"/>
            <w:r>
              <w:t>delictual</w:t>
            </w:r>
            <w:proofErr w:type="spellEnd"/>
            <w:r>
              <w:t xml:space="preserve"> duty' owed by an architectural professional to the public at large?</w:t>
            </w:r>
          </w:p>
        </w:tc>
        <w:tc>
          <w:tcPr>
            <w:tcW w:w="573" w:type="dxa"/>
            <w:vMerge w:val="restart"/>
          </w:tcPr>
          <w:p w:rsidR="0047170E" w:rsidRDefault="00C304EF" w:rsidP="00041560">
            <w:pPr>
              <w:contextualSpacing/>
              <w:jc w:val="center"/>
            </w:pPr>
            <w:r>
              <w:t>(3</w:t>
            </w:r>
            <w:r w:rsidR="0047170E">
              <w:t>)</w:t>
            </w:r>
          </w:p>
        </w:tc>
      </w:tr>
      <w:tr w:rsidR="0047170E" w:rsidTr="0047170E">
        <w:tc>
          <w:tcPr>
            <w:tcW w:w="705" w:type="dxa"/>
            <w:vMerge/>
          </w:tcPr>
          <w:p w:rsidR="0047170E" w:rsidRDefault="0047170E" w:rsidP="00041560">
            <w:pPr>
              <w:contextualSpacing/>
            </w:pPr>
          </w:p>
        </w:tc>
        <w:tc>
          <w:tcPr>
            <w:tcW w:w="8362" w:type="dxa"/>
            <w:vAlign w:val="center"/>
          </w:tcPr>
          <w:p w:rsidR="0047170E" w:rsidRDefault="0047170E" w:rsidP="00041560">
            <w:pPr>
              <w:contextualSpacing/>
              <w:jc w:val="both"/>
            </w:pPr>
            <w:r w:rsidRPr="008A7988">
              <w:rPr>
                <w:color w:val="FF0000"/>
              </w:rPr>
              <w:t xml:space="preserve">A </w:t>
            </w:r>
            <w:proofErr w:type="spellStart"/>
            <w:r w:rsidRPr="008A7988">
              <w:rPr>
                <w:color w:val="FF0000"/>
              </w:rPr>
              <w:t>delictual</w:t>
            </w:r>
            <w:proofErr w:type="spellEnd"/>
            <w:r w:rsidRPr="008A7988">
              <w:rPr>
                <w:color w:val="FF0000"/>
              </w:rPr>
              <w:t xml:space="preserve"> duty is a legal obligation arising between people independent of any contractual or other legal relationship between them</w:t>
            </w:r>
            <w:r>
              <w:rPr>
                <w:color w:val="FF0000"/>
              </w:rPr>
              <w:t>.</w:t>
            </w:r>
          </w:p>
        </w:tc>
        <w:tc>
          <w:tcPr>
            <w:tcW w:w="573" w:type="dxa"/>
            <w:vMerge/>
          </w:tcPr>
          <w:p w:rsidR="0047170E" w:rsidRDefault="0047170E" w:rsidP="00041560">
            <w:pPr>
              <w:contextualSpacing/>
              <w:jc w:val="center"/>
            </w:pPr>
          </w:p>
        </w:tc>
      </w:tr>
      <w:tr w:rsidR="00041560" w:rsidTr="0047170E">
        <w:tc>
          <w:tcPr>
            <w:tcW w:w="9640" w:type="dxa"/>
            <w:gridSpan w:val="3"/>
          </w:tcPr>
          <w:p w:rsidR="00041560" w:rsidRDefault="00041560" w:rsidP="00041560">
            <w:pPr>
              <w:contextualSpacing/>
              <w:jc w:val="center"/>
            </w:pPr>
          </w:p>
        </w:tc>
      </w:tr>
      <w:tr w:rsidR="0047170E" w:rsidTr="0047170E">
        <w:tc>
          <w:tcPr>
            <w:tcW w:w="705" w:type="dxa"/>
            <w:vMerge w:val="restart"/>
            <w:hideMark/>
          </w:tcPr>
          <w:p w:rsidR="0047170E" w:rsidRDefault="0047170E">
            <w:pPr>
              <w:contextualSpacing/>
            </w:pPr>
            <w:r>
              <w:t>1.6</w:t>
            </w:r>
          </w:p>
        </w:tc>
        <w:tc>
          <w:tcPr>
            <w:tcW w:w="8362" w:type="dxa"/>
            <w:vAlign w:val="center"/>
            <w:hideMark/>
          </w:tcPr>
          <w:p w:rsidR="0047170E" w:rsidRDefault="0047170E">
            <w:pPr>
              <w:contextualSpacing/>
              <w:jc w:val="both"/>
            </w:pPr>
            <w:r>
              <w:t>What are some of the conditions that must be met before an architectural professional can be held '</w:t>
            </w:r>
            <w:proofErr w:type="spellStart"/>
            <w:r>
              <w:t>delictually</w:t>
            </w:r>
            <w:proofErr w:type="spellEnd"/>
            <w:r>
              <w:t>' liable?</w:t>
            </w:r>
          </w:p>
        </w:tc>
        <w:tc>
          <w:tcPr>
            <w:tcW w:w="573" w:type="dxa"/>
            <w:vMerge w:val="restart"/>
            <w:hideMark/>
          </w:tcPr>
          <w:p w:rsidR="0047170E" w:rsidRDefault="0047170E">
            <w:pPr>
              <w:contextualSpacing/>
              <w:jc w:val="center"/>
            </w:pPr>
            <w:r>
              <w:t>(5)</w:t>
            </w:r>
          </w:p>
        </w:tc>
      </w:tr>
      <w:tr w:rsidR="0047170E" w:rsidTr="0047170E">
        <w:tc>
          <w:tcPr>
            <w:tcW w:w="705" w:type="dxa"/>
            <w:vMerge/>
          </w:tcPr>
          <w:p w:rsidR="0047170E" w:rsidRDefault="0047170E">
            <w:pPr>
              <w:contextualSpacing/>
            </w:pPr>
          </w:p>
        </w:tc>
        <w:tc>
          <w:tcPr>
            <w:tcW w:w="8362" w:type="dxa"/>
            <w:vAlign w:val="center"/>
          </w:tcPr>
          <w:p w:rsidR="0047170E" w:rsidRDefault="0047170E" w:rsidP="0047170E">
            <w:pPr>
              <w:contextualSpacing/>
              <w:rPr>
                <w:i/>
                <w:color w:val="FF0000"/>
              </w:rPr>
            </w:pPr>
            <w:r>
              <w:rPr>
                <w:i/>
                <w:color w:val="FF0000"/>
              </w:rPr>
              <w:t>Any of the following (1 marks each – total of 5 marks)</w:t>
            </w:r>
          </w:p>
          <w:p w:rsidR="0047170E" w:rsidRDefault="0047170E" w:rsidP="0047170E">
            <w:pPr>
              <w:pStyle w:val="ListParagraph"/>
              <w:numPr>
                <w:ilvl w:val="0"/>
                <w:numId w:val="33"/>
              </w:numPr>
              <w:ind w:left="312" w:hanging="283"/>
              <w:rPr>
                <w:color w:val="FF0000"/>
              </w:rPr>
            </w:pPr>
            <w:r>
              <w:rPr>
                <w:color w:val="FF0000"/>
              </w:rPr>
              <w:t xml:space="preserve">There must have been an act or conduct on the part of the wrongdoer. </w:t>
            </w:r>
          </w:p>
          <w:p w:rsidR="0047170E" w:rsidRDefault="0047170E" w:rsidP="0047170E">
            <w:pPr>
              <w:pStyle w:val="ListParagraph"/>
              <w:numPr>
                <w:ilvl w:val="0"/>
                <w:numId w:val="33"/>
              </w:numPr>
              <w:ind w:left="312" w:hanging="283"/>
              <w:rPr>
                <w:color w:val="FF0000"/>
              </w:rPr>
            </w:pPr>
            <w:r>
              <w:rPr>
                <w:color w:val="FF0000"/>
              </w:rPr>
              <w:t>There must have been wrongfulness (i.e. the infringement of a subjective right of the person prejudiced).</w:t>
            </w:r>
          </w:p>
          <w:p w:rsidR="0047170E" w:rsidRDefault="0047170E" w:rsidP="0047170E">
            <w:pPr>
              <w:pStyle w:val="ListParagraph"/>
              <w:numPr>
                <w:ilvl w:val="0"/>
                <w:numId w:val="33"/>
              </w:numPr>
              <w:ind w:left="312" w:hanging="283"/>
              <w:rPr>
                <w:color w:val="FF0000"/>
              </w:rPr>
            </w:pPr>
            <w:r>
              <w:rPr>
                <w:color w:val="FF0000"/>
              </w:rPr>
              <w:t xml:space="preserve">There must be fault on the part of the wrongdoer. </w:t>
            </w:r>
          </w:p>
          <w:p w:rsidR="0047170E" w:rsidRPr="0047170E" w:rsidRDefault="0047170E" w:rsidP="0047170E">
            <w:pPr>
              <w:pStyle w:val="ListParagraph"/>
              <w:numPr>
                <w:ilvl w:val="0"/>
                <w:numId w:val="33"/>
              </w:numPr>
              <w:ind w:left="312" w:hanging="283"/>
            </w:pPr>
            <w:r>
              <w:rPr>
                <w:color w:val="FF0000"/>
              </w:rPr>
              <w:t xml:space="preserve">There must be a causal connection between the conduct (by the wrongdoer) and the infringement of the right. </w:t>
            </w:r>
          </w:p>
          <w:p w:rsidR="0047170E" w:rsidRDefault="0047170E" w:rsidP="0047170E">
            <w:pPr>
              <w:pStyle w:val="ListParagraph"/>
              <w:numPr>
                <w:ilvl w:val="0"/>
                <w:numId w:val="33"/>
              </w:numPr>
              <w:ind w:left="312" w:hanging="283"/>
            </w:pPr>
            <w:r>
              <w:rPr>
                <w:color w:val="FF0000"/>
              </w:rPr>
              <w:t>There  must  actually  have  been  damage  or  injury  to  the  person  who  suffered  the wrongdoing.</w:t>
            </w:r>
          </w:p>
        </w:tc>
        <w:tc>
          <w:tcPr>
            <w:tcW w:w="573" w:type="dxa"/>
            <w:vMerge/>
          </w:tcPr>
          <w:p w:rsidR="0047170E" w:rsidRDefault="0047170E">
            <w:pPr>
              <w:contextualSpacing/>
              <w:jc w:val="center"/>
            </w:pPr>
          </w:p>
        </w:tc>
      </w:tr>
      <w:tr w:rsidR="00140E28" w:rsidTr="00D012FC">
        <w:tc>
          <w:tcPr>
            <w:tcW w:w="9640" w:type="dxa"/>
            <w:gridSpan w:val="3"/>
          </w:tcPr>
          <w:p w:rsidR="00140E28" w:rsidRDefault="00140E28">
            <w:pPr>
              <w:contextualSpacing/>
              <w:jc w:val="center"/>
            </w:pPr>
          </w:p>
        </w:tc>
      </w:tr>
      <w:tr w:rsidR="0027168D" w:rsidTr="0047170E">
        <w:tc>
          <w:tcPr>
            <w:tcW w:w="705" w:type="dxa"/>
            <w:vMerge w:val="restart"/>
          </w:tcPr>
          <w:p w:rsidR="0027168D" w:rsidRDefault="0027168D">
            <w:pPr>
              <w:contextualSpacing/>
            </w:pPr>
            <w:r>
              <w:lastRenderedPageBreak/>
              <w:t>1.7</w:t>
            </w:r>
          </w:p>
        </w:tc>
        <w:tc>
          <w:tcPr>
            <w:tcW w:w="8362" w:type="dxa"/>
            <w:vAlign w:val="center"/>
          </w:tcPr>
          <w:p w:rsidR="0027168D" w:rsidRPr="003525F3" w:rsidRDefault="0027168D" w:rsidP="0027168D">
            <w:pPr>
              <w:contextualSpacing/>
              <w:rPr>
                <w:color w:val="FF0000"/>
              </w:rPr>
            </w:pPr>
            <w:r>
              <w:t>Provide a definition of the term 'repudiation'. What does this constitute?</w:t>
            </w:r>
          </w:p>
        </w:tc>
        <w:tc>
          <w:tcPr>
            <w:tcW w:w="573" w:type="dxa"/>
            <w:vMerge w:val="restart"/>
          </w:tcPr>
          <w:p w:rsidR="0027168D" w:rsidRDefault="0027168D">
            <w:pPr>
              <w:contextualSpacing/>
              <w:jc w:val="center"/>
            </w:pPr>
            <w:r>
              <w:t>(6)</w:t>
            </w:r>
          </w:p>
        </w:tc>
      </w:tr>
      <w:tr w:rsidR="0027168D" w:rsidTr="003525F3">
        <w:trPr>
          <w:trHeight w:val="150"/>
        </w:trPr>
        <w:tc>
          <w:tcPr>
            <w:tcW w:w="705" w:type="dxa"/>
            <w:vMerge/>
          </w:tcPr>
          <w:p w:rsidR="0027168D" w:rsidRDefault="0027168D">
            <w:pPr>
              <w:contextualSpacing/>
            </w:pPr>
          </w:p>
        </w:tc>
        <w:tc>
          <w:tcPr>
            <w:tcW w:w="8362" w:type="dxa"/>
            <w:vAlign w:val="center"/>
          </w:tcPr>
          <w:p w:rsidR="0027168D" w:rsidRPr="0027168D" w:rsidRDefault="0027168D" w:rsidP="0027168D">
            <w:pPr>
              <w:contextualSpacing/>
            </w:pPr>
            <w:r w:rsidRPr="0027168D">
              <w:rPr>
                <w:color w:val="FF0000"/>
              </w:rPr>
              <w:t xml:space="preserve">One party to a contact’s refusal </w:t>
            </w:r>
            <w:r w:rsidRPr="0027168D">
              <w:rPr>
                <w:color w:val="FF0000"/>
                <w:vertAlign w:val="superscript"/>
              </w:rPr>
              <w:t>(2)</w:t>
            </w:r>
            <w:r w:rsidRPr="0027168D">
              <w:rPr>
                <w:color w:val="FF0000"/>
              </w:rPr>
              <w:t xml:space="preserve"> or inability </w:t>
            </w:r>
            <w:r w:rsidRPr="0027168D">
              <w:rPr>
                <w:color w:val="FF0000"/>
                <w:vertAlign w:val="superscript"/>
              </w:rPr>
              <w:t>(2)</w:t>
            </w:r>
            <w:r w:rsidRPr="0027168D">
              <w:rPr>
                <w:color w:val="FF0000"/>
              </w:rPr>
              <w:t xml:space="preserve"> to fulfil or discharge an agreement, obligation, or debt. This would constitute a breach </w:t>
            </w:r>
            <w:r w:rsidRPr="0027168D">
              <w:rPr>
                <w:color w:val="FF0000"/>
                <w:vertAlign w:val="superscript"/>
              </w:rPr>
              <w:t>(2)</w:t>
            </w:r>
            <w:r w:rsidRPr="0027168D">
              <w:rPr>
                <w:color w:val="FF0000"/>
              </w:rPr>
              <w:t xml:space="preserve"> of contract.</w:t>
            </w:r>
          </w:p>
        </w:tc>
        <w:tc>
          <w:tcPr>
            <w:tcW w:w="573" w:type="dxa"/>
            <w:vMerge/>
          </w:tcPr>
          <w:p w:rsidR="0027168D" w:rsidRDefault="0027168D">
            <w:pPr>
              <w:contextualSpacing/>
              <w:jc w:val="center"/>
            </w:pPr>
          </w:p>
        </w:tc>
      </w:tr>
    </w:tbl>
    <w:p w:rsidR="00172EBE" w:rsidRDefault="00172EBE" w:rsidP="00415E9F">
      <w:pPr>
        <w:spacing w:after="0" w:line="240" w:lineRule="auto"/>
        <w:contextualSpacing/>
        <w:jc w:val="both"/>
      </w:pPr>
    </w:p>
    <w:p w:rsidR="00940DD5" w:rsidRDefault="00940DD5" w:rsidP="00415E9F">
      <w:pPr>
        <w:spacing w:after="0" w:line="240" w:lineRule="auto"/>
        <w:contextualSpacing/>
        <w:jc w:val="both"/>
      </w:pPr>
    </w:p>
    <w:p w:rsidR="009F29F5" w:rsidRPr="008F2399" w:rsidRDefault="009F29F5" w:rsidP="009F29F5">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2</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BD0D28">
        <w:rPr>
          <w:rFonts w:ascii="Century Gothic" w:hAnsi="Century Gothic"/>
          <w:bCs/>
          <w:i/>
          <w:color w:val="7F7F7F" w:themeColor="text1" w:themeTint="80"/>
          <w:spacing w:val="20"/>
          <w:szCs w:val="25"/>
        </w:rPr>
        <w:t>2</w:t>
      </w:r>
      <w:r w:rsidR="00C304EF">
        <w:rPr>
          <w:rFonts w:ascii="Century Gothic" w:hAnsi="Century Gothic"/>
          <w:bCs/>
          <w:i/>
          <w:color w:val="7F7F7F" w:themeColor="text1" w:themeTint="80"/>
          <w:spacing w:val="20"/>
          <w:szCs w:val="25"/>
        </w:rPr>
        <w:t>2</w:t>
      </w:r>
      <w:r w:rsidRPr="000E439C">
        <w:rPr>
          <w:rFonts w:ascii="Century Gothic" w:hAnsi="Century Gothic"/>
          <w:bCs/>
          <w:i/>
          <w:color w:val="7F7F7F" w:themeColor="text1" w:themeTint="80"/>
          <w:spacing w:val="20"/>
          <w:szCs w:val="25"/>
        </w:rPr>
        <w:t xml:space="preserve"> marks</w:t>
      </w:r>
    </w:p>
    <w:p w:rsidR="006F1EBE" w:rsidRDefault="006F1EBE" w:rsidP="006F1EBE">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47170E" w:rsidTr="0047170E">
        <w:tc>
          <w:tcPr>
            <w:tcW w:w="704" w:type="dxa"/>
            <w:vMerge w:val="restart"/>
          </w:tcPr>
          <w:p w:rsidR="0047170E" w:rsidRDefault="0047170E" w:rsidP="008C73F7">
            <w:pPr>
              <w:contextualSpacing/>
            </w:pPr>
            <w:r>
              <w:t>2.1</w:t>
            </w:r>
          </w:p>
        </w:tc>
        <w:tc>
          <w:tcPr>
            <w:tcW w:w="8358" w:type="dxa"/>
            <w:vAlign w:val="center"/>
          </w:tcPr>
          <w:p w:rsidR="0047170E" w:rsidRDefault="0047170E" w:rsidP="008C73F7">
            <w:pPr>
              <w:contextualSpacing/>
              <w:jc w:val="both"/>
            </w:pPr>
            <w:r>
              <w:t>What is the purpose of arranging for construction work to be performed by a subcontractor, and who primarily benefits from such an arrangement?</w:t>
            </w:r>
          </w:p>
        </w:tc>
        <w:tc>
          <w:tcPr>
            <w:tcW w:w="573" w:type="dxa"/>
            <w:vMerge w:val="restart"/>
          </w:tcPr>
          <w:p w:rsidR="0047170E" w:rsidRDefault="0047170E" w:rsidP="008C73F7">
            <w:pPr>
              <w:contextualSpacing/>
              <w:jc w:val="center"/>
            </w:pPr>
            <w:r>
              <w:t>(6)</w:t>
            </w:r>
          </w:p>
        </w:tc>
      </w:tr>
      <w:tr w:rsidR="0047170E" w:rsidTr="0047170E">
        <w:tc>
          <w:tcPr>
            <w:tcW w:w="704" w:type="dxa"/>
            <w:vMerge/>
          </w:tcPr>
          <w:p w:rsidR="0047170E" w:rsidRDefault="0047170E" w:rsidP="008C73F7">
            <w:pPr>
              <w:contextualSpacing/>
            </w:pPr>
          </w:p>
        </w:tc>
        <w:tc>
          <w:tcPr>
            <w:tcW w:w="8358" w:type="dxa"/>
            <w:vAlign w:val="center"/>
          </w:tcPr>
          <w:p w:rsidR="0047170E" w:rsidRDefault="0047170E" w:rsidP="0047170E">
            <w:pPr>
              <w:contextualSpacing/>
              <w:jc w:val="both"/>
            </w:pPr>
            <w:r>
              <w:rPr>
                <w:color w:val="FF0000"/>
              </w:rPr>
              <w:t>T</w:t>
            </w:r>
            <w:r w:rsidRPr="00C665BC">
              <w:rPr>
                <w:color w:val="FF0000"/>
              </w:rPr>
              <w:t>o obtain an acceptable combination of work quality</w:t>
            </w:r>
            <w:r>
              <w:rPr>
                <w:color w:val="FF0000"/>
              </w:rPr>
              <w:t xml:space="preserve"> </w:t>
            </w:r>
            <w:r>
              <w:rPr>
                <w:color w:val="FF0000"/>
                <w:vertAlign w:val="superscript"/>
              </w:rPr>
              <w:t>(2)</w:t>
            </w:r>
            <w:r w:rsidRPr="00C665BC">
              <w:rPr>
                <w:color w:val="FF0000"/>
              </w:rPr>
              <w:t xml:space="preserve"> and price</w:t>
            </w:r>
            <w:r>
              <w:rPr>
                <w:color w:val="FF0000"/>
              </w:rPr>
              <w:t xml:space="preserve"> </w:t>
            </w:r>
            <w:r>
              <w:rPr>
                <w:color w:val="FF0000"/>
                <w:vertAlign w:val="superscript"/>
              </w:rPr>
              <w:t>(2)</w:t>
            </w:r>
            <w:r>
              <w:rPr>
                <w:color w:val="FF0000"/>
              </w:rPr>
              <w:t xml:space="preserve">. The employer enjoys the primary benefit </w:t>
            </w:r>
            <w:r>
              <w:rPr>
                <w:color w:val="FF0000"/>
                <w:vertAlign w:val="superscript"/>
              </w:rPr>
              <w:t>(2)</w:t>
            </w:r>
            <w:r w:rsidRPr="00C665BC">
              <w:rPr>
                <w:color w:val="FF0000"/>
              </w:rPr>
              <w:t>.</w:t>
            </w:r>
          </w:p>
        </w:tc>
        <w:tc>
          <w:tcPr>
            <w:tcW w:w="573" w:type="dxa"/>
            <w:vMerge/>
          </w:tcPr>
          <w:p w:rsidR="0047170E" w:rsidRDefault="0047170E" w:rsidP="008C73F7">
            <w:pPr>
              <w:contextualSpacing/>
              <w:jc w:val="center"/>
            </w:pPr>
          </w:p>
        </w:tc>
      </w:tr>
      <w:tr w:rsidR="008C73F7" w:rsidTr="0047170E">
        <w:tc>
          <w:tcPr>
            <w:tcW w:w="9635" w:type="dxa"/>
            <w:gridSpan w:val="3"/>
          </w:tcPr>
          <w:p w:rsidR="008C73F7" w:rsidRDefault="008C73F7" w:rsidP="008C73F7">
            <w:pPr>
              <w:contextualSpacing/>
              <w:jc w:val="center"/>
            </w:pPr>
          </w:p>
        </w:tc>
      </w:tr>
      <w:tr w:rsidR="0047170E" w:rsidTr="0047170E">
        <w:tc>
          <w:tcPr>
            <w:tcW w:w="704" w:type="dxa"/>
            <w:vMerge w:val="restart"/>
          </w:tcPr>
          <w:p w:rsidR="0047170E" w:rsidRDefault="0047170E" w:rsidP="00846955">
            <w:pPr>
              <w:contextualSpacing/>
            </w:pPr>
            <w:r>
              <w:t>2.2</w:t>
            </w:r>
          </w:p>
        </w:tc>
        <w:tc>
          <w:tcPr>
            <w:tcW w:w="8358" w:type="dxa"/>
            <w:vAlign w:val="center"/>
          </w:tcPr>
          <w:p w:rsidR="0047170E" w:rsidRDefault="0047170E" w:rsidP="00846955">
            <w:pPr>
              <w:contextualSpacing/>
              <w:jc w:val="both"/>
            </w:pPr>
            <w:r>
              <w:t>Which form of subcontract would be most suitable when time is of the essence in procuring tenders?</w:t>
            </w:r>
          </w:p>
        </w:tc>
        <w:tc>
          <w:tcPr>
            <w:tcW w:w="573" w:type="dxa"/>
            <w:vMerge w:val="restart"/>
          </w:tcPr>
          <w:p w:rsidR="0047170E" w:rsidRDefault="00C304EF" w:rsidP="00846955">
            <w:pPr>
              <w:contextualSpacing/>
              <w:jc w:val="center"/>
            </w:pPr>
            <w:r>
              <w:t>(3</w:t>
            </w:r>
            <w:r w:rsidR="0047170E">
              <w:t>)</w:t>
            </w:r>
          </w:p>
        </w:tc>
      </w:tr>
      <w:tr w:rsidR="0047170E" w:rsidTr="0047170E">
        <w:tc>
          <w:tcPr>
            <w:tcW w:w="704" w:type="dxa"/>
            <w:vMerge/>
          </w:tcPr>
          <w:p w:rsidR="0047170E" w:rsidRDefault="0047170E" w:rsidP="00846955">
            <w:pPr>
              <w:contextualSpacing/>
            </w:pPr>
          </w:p>
        </w:tc>
        <w:tc>
          <w:tcPr>
            <w:tcW w:w="8358" w:type="dxa"/>
            <w:vAlign w:val="center"/>
          </w:tcPr>
          <w:p w:rsidR="0047170E" w:rsidRDefault="0047170E" w:rsidP="00846955">
            <w:pPr>
              <w:contextualSpacing/>
              <w:jc w:val="both"/>
            </w:pPr>
            <w:r>
              <w:rPr>
                <w:color w:val="FF0000"/>
              </w:rPr>
              <w:t>The nominated subcontract</w:t>
            </w:r>
          </w:p>
        </w:tc>
        <w:tc>
          <w:tcPr>
            <w:tcW w:w="573" w:type="dxa"/>
            <w:vMerge/>
          </w:tcPr>
          <w:p w:rsidR="0047170E" w:rsidRDefault="0047170E" w:rsidP="00846955">
            <w:pPr>
              <w:contextualSpacing/>
              <w:jc w:val="center"/>
            </w:pPr>
          </w:p>
        </w:tc>
      </w:tr>
      <w:tr w:rsidR="00846955" w:rsidTr="0047170E">
        <w:tc>
          <w:tcPr>
            <w:tcW w:w="9635" w:type="dxa"/>
            <w:gridSpan w:val="3"/>
          </w:tcPr>
          <w:p w:rsidR="00846955" w:rsidRDefault="00846955" w:rsidP="00846955">
            <w:pPr>
              <w:contextualSpacing/>
              <w:jc w:val="center"/>
            </w:pPr>
          </w:p>
        </w:tc>
      </w:tr>
      <w:tr w:rsidR="0047170E" w:rsidTr="0047170E">
        <w:tc>
          <w:tcPr>
            <w:tcW w:w="704" w:type="dxa"/>
            <w:vMerge w:val="restart"/>
          </w:tcPr>
          <w:p w:rsidR="0047170E" w:rsidRDefault="0047170E" w:rsidP="00846955">
            <w:pPr>
              <w:contextualSpacing/>
            </w:pPr>
            <w:r>
              <w:t>2.3</w:t>
            </w:r>
          </w:p>
        </w:tc>
        <w:tc>
          <w:tcPr>
            <w:tcW w:w="8358" w:type="dxa"/>
            <w:vAlign w:val="center"/>
          </w:tcPr>
          <w:p w:rsidR="0047170E" w:rsidRDefault="0047170E" w:rsidP="00846955">
            <w:pPr>
              <w:contextualSpacing/>
              <w:jc w:val="both"/>
            </w:pPr>
            <w:r>
              <w:t>What may be required from a subcontractor in order to protect the architectural professional?</w:t>
            </w:r>
          </w:p>
        </w:tc>
        <w:tc>
          <w:tcPr>
            <w:tcW w:w="573" w:type="dxa"/>
            <w:vMerge w:val="restart"/>
          </w:tcPr>
          <w:p w:rsidR="0047170E" w:rsidRDefault="00C304EF" w:rsidP="00846955">
            <w:pPr>
              <w:contextualSpacing/>
              <w:jc w:val="center"/>
            </w:pPr>
            <w:r>
              <w:t>(4</w:t>
            </w:r>
            <w:r w:rsidR="0047170E">
              <w:t>)</w:t>
            </w:r>
          </w:p>
        </w:tc>
      </w:tr>
      <w:tr w:rsidR="0047170E" w:rsidTr="0047170E">
        <w:tc>
          <w:tcPr>
            <w:tcW w:w="704" w:type="dxa"/>
            <w:vMerge/>
          </w:tcPr>
          <w:p w:rsidR="0047170E" w:rsidRDefault="0047170E" w:rsidP="00846955">
            <w:pPr>
              <w:contextualSpacing/>
            </w:pPr>
          </w:p>
        </w:tc>
        <w:tc>
          <w:tcPr>
            <w:tcW w:w="8358" w:type="dxa"/>
            <w:vAlign w:val="center"/>
          </w:tcPr>
          <w:p w:rsidR="0047170E" w:rsidRDefault="0047170E" w:rsidP="00846955">
            <w:pPr>
              <w:contextualSpacing/>
              <w:jc w:val="both"/>
            </w:pPr>
            <w:r w:rsidRPr="008C73F7">
              <w:rPr>
                <w:color w:val="FF0000"/>
              </w:rPr>
              <w:t xml:space="preserve">An indemnity </w:t>
            </w:r>
            <w:r w:rsidR="00C304EF">
              <w:rPr>
                <w:color w:val="FF0000"/>
                <w:vertAlign w:val="superscript"/>
              </w:rPr>
              <w:t>(2</w:t>
            </w:r>
            <w:r w:rsidRPr="008C73F7">
              <w:rPr>
                <w:color w:val="FF0000"/>
                <w:vertAlign w:val="superscript"/>
              </w:rPr>
              <w:t>)</w:t>
            </w:r>
            <w:r w:rsidRPr="008C73F7">
              <w:rPr>
                <w:color w:val="FF0000"/>
              </w:rPr>
              <w:t xml:space="preserve"> concerning the design and choice of materials of the architectural professional </w:t>
            </w:r>
            <w:r w:rsidRPr="008C73F7">
              <w:rPr>
                <w:color w:val="FF0000"/>
                <w:vertAlign w:val="superscript"/>
              </w:rPr>
              <w:t>(2)</w:t>
            </w:r>
            <w:r w:rsidRPr="008C73F7">
              <w:rPr>
                <w:color w:val="FF0000"/>
              </w:rPr>
              <w:t>.</w:t>
            </w:r>
          </w:p>
        </w:tc>
        <w:tc>
          <w:tcPr>
            <w:tcW w:w="573" w:type="dxa"/>
            <w:vMerge/>
          </w:tcPr>
          <w:p w:rsidR="0047170E" w:rsidRDefault="0047170E" w:rsidP="00846955">
            <w:pPr>
              <w:contextualSpacing/>
              <w:jc w:val="center"/>
            </w:pPr>
          </w:p>
        </w:tc>
      </w:tr>
      <w:tr w:rsidR="00846955" w:rsidTr="0047170E">
        <w:tc>
          <w:tcPr>
            <w:tcW w:w="9635" w:type="dxa"/>
            <w:gridSpan w:val="3"/>
          </w:tcPr>
          <w:p w:rsidR="00846955" w:rsidRDefault="00846955" w:rsidP="00846955">
            <w:pPr>
              <w:contextualSpacing/>
              <w:jc w:val="center"/>
            </w:pPr>
          </w:p>
        </w:tc>
      </w:tr>
      <w:tr w:rsidR="0047170E" w:rsidTr="0047170E">
        <w:tc>
          <w:tcPr>
            <w:tcW w:w="704" w:type="dxa"/>
            <w:vMerge w:val="restart"/>
          </w:tcPr>
          <w:p w:rsidR="0047170E" w:rsidRDefault="004D08EF" w:rsidP="00846955">
            <w:pPr>
              <w:contextualSpacing/>
            </w:pPr>
            <w:r>
              <w:t>2.4</w:t>
            </w:r>
          </w:p>
        </w:tc>
        <w:tc>
          <w:tcPr>
            <w:tcW w:w="8358" w:type="dxa"/>
            <w:vAlign w:val="center"/>
          </w:tcPr>
          <w:p w:rsidR="0047170E" w:rsidRDefault="0047170E" w:rsidP="00846955">
            <w:pPr>
              <w:contextualSpacing/>
              <w:jc w:val="both"/>
            </w:pPr>
            <w:r>
              <w:t>Identify three examples of what would result if there was no building contract entered into for a project?</w:t>
            </w:r>
          </w:p>
        </w:tc>
        <w:tc>
          <w:tcPr>
            <w:tcW w:w="573" w:type="dxa"/>
            <w:vMerge w:val="restart"/>
          </w:tcPr>
          <w:p w:rsidR="0047170E" w:rsidRDefault="004D08EF" w:rsidP="00846955">
            <w:pPr>
              <w:contextualSpacing/>
              <w:jc w:val="center"/>
            </w:pPr>
            <w:r>
              <w:t>(9</w:t>
            </w:r>
            <w:r w:rsidR="0047170E">
              <w:t>)</w:t>
            </w:r>
          </w:p>
        </w:tc>
      </w:tr>
      <w:tr w:rsidR="0047170E" w:rsidTr="0047170E">
        <w:tc>
          <w:tcPr>
            <w:tcW w:w="704" w:type="dxa"/>
            <w:vMerge/>
          </w:tcPr>
          <w:p w:rsidR="0047170E" w:rsidRDefault="0047170E" w:rsidP="00846955">
            <w:pPr>
              <w:contextualSpacing/>
            </w:pPr>
          </w:p>
        </w:tc>
        <w:tc>
          <w:tcPr>
            <w:tcW w:w="8358" w:type="dxa"/>
            <w:vAlign w:val="center"/>
          </w:tcPr>
          <w:p w:rsidR="0047170E" w:rsidRPr="007B3D47" w:rsidRDefault="0047170E" w:rsidP="0047170E">
            <w:pPr>
              <w:contextualSpacing/>
              <w:rPr>
                <w:i/>
                <w:color w:val="FF0000"/>
              </w:rPr>
            </w:pPr>
            <w:r w:rsidRPr="007B3D47">
              <w:rPr>
                <w:i/>
                <w:color w:val="FF0000"/>
              </w:rPr>
              <w:t xml:space="preserve">Any of the following </w:t>
            </w:r>
            <w:r>
              <w:rPr>
                <w:i/>
                <w:color w:val="FF0000"/>
              </w:rPr>
              <w:t xml:space="preserve">or in a similar vein </w:t>
            </w:r>
            <w:r w:rsidRPr="007B3D47">
              <w:rPr>
                <w:i/>
                <w:color w:val="FF0000"/>
              </w:rPr>
              <w:t>(</w:t>
            </w:r>
            <w:r w:rsidR="004D08EF">
              <w:rPr>
                <w:i/>
                <w:color w:val="FF0000"/>
              </w:rPr>
              <w:t>3</w:t>
            </w:r>
            <w:r w:rsidRPr="007B3D47">
              <w:rPr>
                <w:i/>
                <w:color w:val="FF0000"/>
              </w:rPr>
              <w:t xml:space="preserve"> mark</w:t>
            </w:r>
            <w:r>
              <w:rPr>
                <w:i/>
                <w:color w:val="FF0000"/>
              </w:rPr>
              <w:t>s</w:t>
            </w:r>
            <w:r w:rsidRPr="007B3D47">
              <w:rPr>
                <w:i/>
                <w:color w:val="FF0000"/>
              </w:rPr>
              <w:t xml:space="preserve"> each – total </w:t>
            </w:r>
            <w:r>
              <w:rPr>
                <w:i/>
                <w:color w:val="FF0000"/>
              </w:rPr>
              <w:t>of 6</w:t>
            </w:r>
            <w:r w:rsidRPr="007B3D47">
              <w:rPr>
                <w:i/>
                <w:color w:val="FF0000"/>
              </w:rPr>
              <w:t xml:space="preserve"> marks)</w:t>
            </w:r>
          </w:p>
          <w:p w:rsidR="0047170E" w:rsidRPr="002648C8" w:rsidRDefault="0047170E" w:rsidP="0047170E">
            <w:pPr>
              <w:pStyle w:val="ListParagraph"/>
              <w:numPr>
                <w:ilvl w:val="0"/>
                <w:numId w:val="31"/>
              </w:numPr>
              <w:ind w:left="312" w:hanging="283"/>
              <w:rPr>
                <w:color w:val="FF0000"/>
              </w:rPr>
            </w:pPr>
            <w:r w:rsidRPr="002648C8">
              <w:rPr>
                <w:color w:val="FF0000"/>
              </w:rPr>
              <w:t>There would be no principal agent, and the contract would be under the exclusive control of the employer</w:t>
            </w:r>
            <w:r w:rsidR="00C304EF">
              <w:rPr>
                <w:color w:val="FF0000"/>
              </w:rPr>
              <w:t>.</w:t>
            </w:r>
          </w:p>
          <w:p w:rsidR="0047170E" w:rsidRPr="002648C8" w:rsidRDefault="0047170E" w:rsidP="0047170E">
            <w:pPr>
              <w:pStyle w:val="ListParagraph"/>
              <w:numPr>
                <w:ilvl w:val="0"/>
                <w:numId w:val="31"/>
              </w:numPr>
              <w:ind w:left="312" w:hanging="283"/>
              <w:rPr>
                <w:color w:val="FF0000"/>
              </w:rPr>
            </w:pPr>
            <w:r w:rsidRPr="002648C8">
              <w:rPr>
                <w:color w:val="FF0000"/>
              </w:rPr>
              <w:t>The works would need to be completed entirely before the contractor is entitled to receive payment</w:t>
            </w:r>
            <w:r w:rsidR="00C304EF">
              <w:rPr>
                <w:color w:val="FF0000"/>
              </w:rPr>
              <w:t>.</w:t>
            </w:r>
          </w:p>
          <w:p w:rsidR="0047170E" w:rsidRPr="002648C8" w:rsidRDefault="0047170E" w:rsidP="0047170E">
            <w:pPr>
              <w:pStyle w:val="ListParagraph"/>
              <w:numPr>
                <w:ilvl w:val="0"/>
                <w:numId w:val="31"/>
              </w:numPr>
              <w:ind w:left="312" w:hanging="283"/>
              <w:rPr>
                <w:color w:val="FF0000"/>
              </w:rPr>
            </w:pPr>
            <w:r w:rsidRPr="002648C8">
              <w:rPr>
                <w:color w:val="FF0000"/>
              </w:rPr>
              <w:t>There would be no obligations to carry out variations to the works</w:t>
            </w:r>
          </w:p>
          <w:p w:rsidR="0047170E" w:rsidRPr="0047170E" w:rsidRDefault="0047170E" w:rsidP="0047170E">
            <w:pPr>
              <w:pStyle w:val="ListParagraph"/>
              <w:numPr>
                <w:ilvl w:val="0"/>
                <w:numId w:val="31"/>
              </w:numPr>
              <w:ind w:left="312" w:hanging="283"/>
            </w:pPr>
            <w:r w:rsidRPr="002648C8">
              <w:rPr>
                <w:color w:val="FF0000"/>
              </w:rPr>
              <w:t>The latent defects liability would run indefinitely</w:t>
            </w:r>
            <w:r w:rsidR="00C304EF">
              <w:rPr>
                <w:color w:val="FF0000"/>
              </w:rPr>
              <w:t>.</w:t>
            </w:r>
          </w:p>
          <w:p w:rsidR="0047170E" w:rsidRDefault="0047170E" w:rsidP="0047170E">
            <w:pPr>
              <w:pStyle w:val="ListParagraph"/>
              <w:numPr>
                <w:ilvl w:val="0"/>
                <w:numId w:val="31"/>
              </w:numPr>
              <w:ind w:left="312" w:hanging="283"/>
            </w:pPr>
            <w:r w:rsidRPr="001E17B2">
              <w:rPr>
                <w:color w:val="FF0000"/>
              </w:rPr>
              <w:t>The contractor would be liable for damages due to late completion (as opposed to penalties)</w:t>
            </w:r>
            <w:r w:rsidR="00C304EF">
              <w:rPr>
                <w:color w:val="FF0000"/>
              </w:rPr>
              <w:t>.</w:t>
            </w:r>
          </w:p>
        </w:tc>
        <w:tc>
          <w:tcPr>
            <w:tcW w:w="573" w:type="dxa"/>
            <w:vMerge/>
          </w:tcPr>
          <w:p w:rsidR="0047170E" w:rsidRDefault="0047170E" w:rsidP="00846955">
            <w:pPr>
              <w:contextualSpacing/>
              <w:jc w:val="center"/>
            </w:pPr>
          </w:p>
        </w:tc>
      </w:tr>
    </w:tbl>
    <w:p w:rsidR="006F1EBE" w:rsidRDefault="006F1EBE" w:rsidP="006F1EBE">
      <w:pPr>
        <w:spacing w:after="0" w:line="240" w:lineRule="auto"/>
        <w:contextualSpacing/>
        <w:jc w:val="both"/>
      </w:pPr>
    </w:p>
    <w:p w:rsidR="004C44F6" w:rsidRDefault="004C44F6" w:rsidP="006F1EBE">
      <w:pPr>
        <w:spacing w:after="0" w:line="240" w:lineRule="auto"/>
        <w:contextualSpacing/>
        <w:jc w:val="both"/>
      </w:pPr>
    </w:p>
    <w:p w:rsidR="00000AF7" w:rsidRPr="008F2399" w:rsidRDefault="00097D3B" w:rsidP="00000AF7">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3</w:t>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000AF7">
        <w:rPr>
          <w:rFonts w:ascii="Century Gothic" w:hAnsi="Century Gothic"/>
          <w:b/>
          <w:bCs/>
          <w:color w:val="7F7F7F" w:themeColor="text1" w:themeTint="80"/>
          <w:spacing w:val="40"/>
          <w:szCs w:val="25"/>
        </w:rPr>
        <w:tab/>
      </w:r>
      <w:r w:rsidR="005F5CC0">
        <w:rPr>
          <w:rFonts w:ascii="Century Gothic" w:hAnsi="Century Gothic"/>
          <w:bCs/>
          <w:i/>
          <w:color w:val="7F7F7F" w:themeColor="text1" w:themeTint="80"/>
          <w:spacing w:val="20"/>
          <w:szCs w:val="25"/>
        </w:rPr>
        <w:t>15</w:t>
      </w:r>
      <w:r w:rsidR="00000AF7" w:rsidRPr="000E439C">
        <w:rPr>
          <w:rFonts w:ascii="Century Gothic" w:hAnsi="Century Gothic"/>
          <w:bCs/>
          <w:i/>
          <w:color w:val="7F7F7F" w:themeColor="text1" w:themeTint="80"/>
          <w:spacing w:val="20"/>
          <w:szCs w:val="25"/>
        </w:rPr>
        <w:t xml:space="preserve"> marks</w:t>
      </w:r>
    </w:p>
    <w:p w:rsidR="00000AF7" w:rsidRDefault="00000AF7" w:rsidP="00415E9F">
      <w:pPr>
        <w:spacing w:after="0" w:line="240" w:lineRule="auto"/>
        <w:contextualSpacing/>
        <w:jc w:val="both"/>
      </w:pPr>
    </w:p>
    <w:p w:rsidR="00000AF7" w:rsidRDefault="00000AF7" w:rsidP="00000AF7">
      <w:pPr>
        <w:pStyle w:val="ListParagraph"/>
        <w:numPr>
          <w:ilvl w:val="0"/>
          <w:numId w:val="30"/>
        </w:numPr>
        <w:spacing w:after="0" w:line="240" w:lineRule="auto"/>
        <w:ind w:left="284" w:hanging="284"/>
        <w:jc w:val="both"/>
      </w:pPr>
      <w:r>
        <w:t xml:space="preserve">Select the correct answer from the list provided. There is only one correct answer to each question. </w:t>
      </w:r>
    </w:p>
    <w:p w:rsidR="00000AF7" w:rsidRDefault="00000AF7" w:rsidP="00000AF7">
      <w:pPr>
        <w:pStyle w:val="ListParagraph"/>
        <w:numPr>
          <w:ilvl w:val="0"/>
          <w:numId w:val="30"/>
        </w:numPr>
        <w:spacing w:after="0" w:line="240" w:lineRule="auto"/>
        <w:ind w:left="284" w:hanging="284"/>
        <w:jc w:val="both"/>
      </w:pPr>
      <w:r>
        <w:t>Provide only the question number and the</w:t>
      </w:r>
      <w:r w:rsidR="008C73F7">
        <w:t xml:space="preserve"> letter of the selected answer.</w:t>
      </w:r>
    </w:p>
    <w:p w:rsidR="00000AF7" w:rsidRDefault="00000AF7" w:rsidP="00000AF7">
      <w:pPr>
        <w:pStyle w:val="ListParagraph"/>
        <w:numPr>
          <w:ilvl w:val="0"/>
          <w:numId w:val="30"/>
        </w:numPr>
        <w:spacing w:after="0" w:line="240" w:lineRule="auto"/>
        <w:ind w:left="284" w:hanging="284"/>
        <w:jc w:val="both"/>
      </w:pPr>
      <w:r>
        <w:t>The</w:t>
      </w:r>
      <w:r w:rsidR="0065773B">
        <w:t xml:space="preserve"> acronym '</w:t>
      </w:r>
      <w:proofErr w:type="spellStart"/>
      <w:r w:rsidR="0065773B">
        <w:t>JBCC</w:t>
      </w:r>
      <w:proofErr w:type="spellEnd"/>
      <w:r w:rsidR="0065773B">
        <w:t>-PBA'</w:t>
      </w:r>
      <w:r>
        <w:t xml:space="preserve"> refers to the </w:t>
      </w:r>
      <w:proofErr w:type="spellStart"/>
      <w:r>
        <w:t>JBCC</w:t>
      </w:r>
      <w:proofErr w:type="spellEnd"/>
      <w:r>
        <w:t xml:space="preserve"> Principal Building Agreement</w:t>
      </w:r>
      <w:r w:rsidR="00B05010">
        <w:t>.</w:t>
      </w:r>
    </w:p>
    <w:p w:rsidR="00B05010" w:rsidRDefault="00B05010"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9016C6" w:rsidTr="009016C6">
        <w:tc>
          <w:tcPr>
            <w:tcW w:w="704" w:type="dxa"/>
            <w:vMerge w:val="restart"/>
          </w:tcPr>
          <w:p w:rsidR="009016C6" w:rsidRDefault="009016C6" w:rsidP="00FE023F">
            <w:pPr>
              <w:contextualSpacing/>
            </w:pPr>
            <w:r>
              <w:t>3.1</w:t>
            </w:r>
          </w:p>
        </w:tc>
        <w:tc>
          <w:tcPr>
            <w:tcW w:w="8358" w:type="dxa"/>
            <w:gridSpan w:val="2"/>
            <w:vAlign w:val="center"/>
          </w:tcPr>
          <w:p w:rsidR="009016C6" w:rsidRDefault="009016C6" w:rsidP="00FE023F">
            <w:pPr>
              <w:contextualSpacing/>
              <w:jc w:val="both"/>
            </w:pPr>
            <w:r w:rsidRPr="005555DA">
              <w:t xml:space="preserve">The </w:t>
            </w:r>
            <w:proofErr w:type="spellStart"/>
            <w:r w:rsidRPr="005555DA">
              <w:t>JBCC</w:t>
            </w:r>
            <w:proofErr w:type="spellEnd"/>
            <w:r>
              <w:t>-PBA</w:t>
            </w:r>
            <w:r w:rsidRPr="005555DA">
              <w:t xml:space="preserve"> is reached by the process of offer and acceptance…</w:t>
            </w:r>
          </w:p>
        </w:tc>
        <w:tc>
          <w:tcPr>
            <w:tcW w:w="573" w:type="dxa"/>
            <w:vMerge w:val="restart"/>
          </w:tcPr>
          <w:p w:rsidR="009016C6" w:rsidRDefault="009016C6" w:rsidP="005F5CC0">
            <w:pPr>
              <w:contextualSpacing/>
              <w:jc w:val="center"/>
            </w:pPr>
            <w:r>
              <w:t>(</w:t>
            </w:r>
            <w:r w:rsidR="005F5CC0">
              <w:t>3</w:t>
            </w:r>
            <w:r>
              <w:t>)</w:t>
            </w:r>
          </w:p>
        </w:tc>
      </w:tr>
      <w:tr w:rsidR="009016C6" w:rsidTr="009016C6">
        <w:tc>
          <w:tcPr>
            <w:tcW w:w="704" w:type="dxa"/>
            <w:vMerge/>
          </w:tcPr>
          <w:p w:rsidR="009016C6" w:rsidRDefault="009016C6" w:rsidP="00FE023F">
            <w:pPr>
              <w:contextualSpacing/>
            </w:pPr>
          </w:p>
        </w:tc>
        <w:tc>
          <w:tcPr>
            <w:tcW w:w="420" w:type="dxa"/>
          </w:tcPr>
          <w:p w:rsidR="009016C6" w:rsidRDefault="009016C6" w:rsidP="00FE023F">
            <w:pPr>
              <w:contextualSpacing/>
              <w:jc w:val="center"/>
            </w:pPr>
            <w:r>
              <w:t>A.</w:t>
            </w:r>
          </w:p>
        </w:tc>
        <w:tc>
          <w:tcPr>
            <w:tcW w:w="7938" w:type="dxa"/>
          </w:tcPr>
          <w:p w:rsidR="009016C6" w:rsidRDefault="009016C6" w:rsidP="00FE023F">
            <w:pPr>
              <w:contextualSpacing/>
              <w:jc w:val="both"/>
            </w:pPr>
            <w:r>
              <w:t>between the tenders and the principal agent</w:t>
            </w:r>
          </w:p>
        </w:tc>
        <w:tc>
          <w:tcPr>
            <w:tcW w:w="573" w:type="dxa"/>
            <w:vMerge/>
          </w:tcPr>
          <w:p w:rsidR="009016C6" w:rsidRDefault="009016C6" w:rsidP="00FE023F">
            <w:pPr>
              <w:contextualSpacing/>
              <w:jc w:val="both"/>
            </w:pPr>
          </w:p>
        </w:tc>
      </w:tr>
      <w:tr w:rsidR="009016C6" w:rsidTr="005170EE">
        <w:tc>
          <w:tcPr>
            <w:tcW w:w="704" w:type="dxa"/>
            <w:vMerge/>
          </w:tcPr>
          <w:p w:rsidR="009016C6" w:rsidRDefault="009016C6" w:rsidP="009016C6">
            <w:pPr>
              <w:contextualSpacing/>
            </w:pPr>
          </w:p>
        </w:tc>
        <w:tc>
          <w:tcPr>
            <w:tcW w:w="420" w:type="dxa"/>
          </w:tcPr>
          <w:p w:rsidR="009016C6" w:rsidRDefault="009016C6" w:rsidP="009016C6">
            <w:pPr>
              <w:contextualSpacing/>
              <w:jc w:val="center"/>
            </w:pPr>
            <w:r>
              <w:t>B.</w:t>
            </w:r>
          </w:p>
        </w:tc>
        <w:tc>
          <w:tcPr>
            <w:tcW w:w="7938" w:type="dxa"/>
            <w:vAlign w:val="center"/>
          </w:tcPr>
          <w:p w:rsidR="009016C6" w:rsidRDefault="009016C6" w:rsidP="009016C6">
            <w:pPr>
              <w:contextualSpacing/>
              <w:jc w:val="both"/>
            </w:pPr>
            <w:r>
              <w:t>between the employer and the principal agent</w:t>
            </w:r>
          </w:p>
        </w:tc>
        <w:tc>
          <w:tcPr>
            <w:tcW w:w="573" w:type="dxa"/>
            <w:vMerge/>
          </w:tcPr>
          <w:p w:rsidR="009016C6" w:rsidRDefault="009016C6" w:rsidP="009016C6">
            <w:pPr>
              <w:contextualSpacing/>
              <w:jc w:val="both"/>
            </w:pPr>
          </w:p>
        </w:tc>
      </w:tr>
      <w:tr w:rsidR="009016C6" w:rsidTr="005170EE">
        <w:tc>
          <w:tcPr>
            <w:tcW w:w="704" w:type="dxa"/>
            <w:vMerge/>
          </w:tcPr>
          <w:p w:rsidR="009016C6" w:rsidRDefault="009016C6" w:rsidP="009016C6">
            <w:pPr>
              <w:contextualSpacing/>
            </w:pPr>
          </w:p>
        </w:tc>
        <w:tc>
          <w:tcPr>
            <w:tcW w:w="420" w:type="dxa"/>
          </w:tcPr>
          <w:p w:rsidR="009016C6" w:rsidRDefault="009016C6" w:rsidP="009016C6">
            <w:pPr>
              <w:contextualSpacing/>
              <w:jc w:val="center"/>
            </w:pPr>
            <w:r w:rsidRPr="006E4F9A">
              <w:rPr>
                <w:color w:val="FF0000"/>
              </w:rPr>
              <w:t>C.</w:t>
            </w:r>
          </w:p>
        </w:tc>
        <w:tc>
          <w:tcPr>
            <w:tcW w:w="7938" w:type="dxa"/>
            <w:vAlign w:val="center"/>
          </w:tcPr>
          <w:p w:rsidR="009016C6" w:rsidRDefault="009016C6" w:rsidP="009016C6">
            <w:pPr>
              <w:contextualSpacing/>
              <w:jc w:val="both"/>
            </w:pPr>
            <w:r w:rsidRPr="006E4F9A">
              <w:rPr>
                <w:color w:val="FF0000"/>
              </w:rPr>
              <w:t>between the employer and the contractor</w:t>
            </w:r>
          </w:p>
        </w:tc>
        <w:tc>
          <w:tcPr>
            <w:tcW w:w="573" w:type="dxa"/>
            <w:vMerge/>
          </w:tcPr>
          <w:p w:rsidR="009016C6" w:rsidRDefault="009016C6" w:rsidP="009016C6">
            <w:pPr>
              <w:contextualSpacing/>
              <w:jc w:val="both"/>
            </w:pPr>
          </w:p>
        </w:tc>
      </w:tr>
      <w:tr w:rsidR="009016C6" w:rsidTr="005170EE">
        <w:tc>
          <w:tcPr>
            <w:tcW w:w="704" w:type="dxa"/>
            <w:vMerge/>
          </w:tcPr>
          <w:p w:rsidR="009016C6" w:rsidRDefault="009016C6" w:rsidP="009016C6">
            <w:pPr>
              <w:contextualSpacing/>
            </w:pPr>
          </w:p>
        </w:tc>
        <w:tc>
          <w:tcPr>
            <w:tcW w:w="420" w:type="dxa"/>
          </w:tcPr>
          <w:p w:rsidR="009016C6" w:rsidRPr="0006277E" w:rsidRDefault="009016C6" w:rsidP="009016C6">
            <w:pPr>
              <w:contextualSpacing/>
              <w:jc w:val="center"/>
              <w:rPr>
                <w:color w:val="FF0000"/>
              </w:rPr>
            </w:pPr>
            <w:r w:rsidRPr="006E4F9A">
              <w:t>D.</w:t>
            </w:r>
          </w:p>
        </w:tc>
        <w:tc>
          <w:tcPr>
            <w:tcW w:w="7938" w:type="dxa"/>
            <w:vAlign w:val="center"/>
          </w:tcPr>
          <w:p w:rsidR="009016C6" w:rsidRDefault="009016C6" w:rsidP="009016C6">
            <w:pPr>
              <w:contextualSpacing/>
            </w:pPr>
            <w:r w:rsidRPr="006E4F9A">
              <w:t>between the nominated and selected subcontractors</w:t>
            </w:r>
          </w:p>
        </w:tc>
        <w:tc>
          <w:tcPr>
            <w:tcW w:w="573" w:type="dxa"/>
            <w:vMerge/>
          </w:tcPr>
          <w:p w:rsidR="009016C6" w:rsidRDefault="009016C6" w:rsidP="009016C6">
            <w:pPr>
              <w:contextualSpacing/>
              <w:jc w:val="both"/>
            </w:pPr>
          </w:p>
        </w:tc>
      </w:tr>
      <w:tr w:rsidR="009016C6" w:rsidTr="009016C6">
        <w:tc>
          <w:tcPr>
            <w:tcW w:w="9635" w:type="dxa"/>
            <w:gridSpan w:val="4"/>
          </w:tcPr>
          <w:p w:rsidR="009016C6" w:rsidRDefault="009016C6" w:rsidP="009016C6">
            <w:pPr>
              <w:contextualSpacing/>
              <w:rPr>
                <w:color w:val="FF0000"/>
              </w:rPr>
            </w:pPr>
          </w:p>
        </w:tc>
      </w:tr>
      <w:tr w:rsidR="009016C6" w:rsidTr="009016C6">
        <w:tc>
          <w:tcPr>
            <w:tcW w:w="704" w:type="dxa"/>
            <w:vMerge w:val="restart"/>
          </w:tcPr>
          <w:p w:rsidR="009016C6" w:rsidRDefault="009016C6" w:rsidP="009016C6">
            <w:pPr>
              <w:contextualSpacing/>
            </w:pPr>
            <w:r>
              <w:t>3.2</w:t>
            </w:r>
          </w:p>
        </w:tc>
        <w:tc>
          <w:tcPr>
            <w:tcW w:w="8358" w:type="dxa"/>
            <w:gridSpan w:val="2"/>
            <w:vAlign w:val="center"/>
          </w:tcPr>
          <w:p w:rsidR="009016C6" w:rsidRDefault="009016C6" w:rsidP="009016C6">
            <w:pPr>
              <w:contextualSpacing/>
              <w:jc w:val="both"/>
            </w:pPr>
            <w:r w:rsidRPr="005555DA">
              <w:t xml:space="preserve">The principal agent is appointed by the employer to ________ the </w:t>
            </w:r>
            <w:proofErr w:type="spellStart"/>
            <w:r w:rsidRPr="005555DA">
              <w:t>JBCC</w:t>
            </w:r>
            <w:proofErr w:type="spellEnd"/>
            <w:r>
              <w:t>-PBA</w:t>
            </w:r>
            <w:r w:rsidRPr="005555DA">
              <w:t>.</w:t>
            </w:r>
          </w:p>
        </w:tc>
        <w:tc>
          <w:tcPr>
            <w:tcW w:w="573" w:type="dxa"/>
            <w:vMerge w:val="restart"/>
          </w:tcPr>
          <w:p w:rsidR="009016C6" w:rsidRDefault="005F5CC0" w:rsidP="009016C6">
            <w:pPr>
              <w:contextualSpacing/>
              <w:jc w:val="center"/>
            </w:pPr>
            <w:r>
              <w:t>(3</w:t>
            </w:r>
            <w:r w:rsidR="009016C6">
              <w:t>)</w:t>
            </w:r>
          </w:p>
        </w:tc>
      </w:tr>
      <w:tr w:rsidR="009016C6" w:rsidTr="009016C6">
        <w:tc>
          <w:tcPr>
            <w:tcW w:w="704" w:type="dxa"/>
            <w:vMerge/>
          </w:tcPr>
          <w:p w:rsidR="009016C6" w:rsidRDefault="009016C6" w:rsidP="009016C6">
            <w:pPr>
              <w:contextualSpacing/>
            </w:pPr>
          </w:p>
        </w:tc>
        <w:tc>
          <w:tcPr>
            <w:tcW w:w="420" w:type="dxa"/>
          </w:tcPr>
          <w:p w:rsidR="009016C6" w:rsidRDefault="009016C6" w:rsidP="009016C6">
            <w:pPr>
              <w:contextualSpacing/>
              <w:jc w:val="center"/>
            </w:pPr>
            <w:r w:rsidRPr="006E4F9A">
              <w:rPr>
                <w:color w:val="FF0000"/>
              </w:rPr>
              <w:t>A.</w:t>
            </w:r>
          </w:p>
        </w:tc>
        <w:tc>
          <w:tcPr>
            <w:tcW w:w="7938" w:type="dxa"/>
          </w:tcPr>
          <w:p w:rsidR="009016C6" w:rsidRDefault="009016C6" w:rsidP="009016C6">
            <w:pPr>
              <w:contextualSpacing/>
              <w:jc w:val="both"/>
            </w:pPr>
            <w:r w:rsidRPr="005555DA">
              <w:rPr>
                <w:color w:val="FF0000"/>
              </w:rPr>
              <w:t>administer</w:t>
            </w:r>
          </w:p>
        </w:tc>
        <w:tc>
          <w:tcPr>
            <w:tcW w:w="573" w:type="dxa"/>
            <w:vMerge/>
          </w:tcPr>
          <w:p w:rsidR="009016C6" w:rsidRDefault="009016C6" w:rsidP="009016C6">
            <w:pPr>
              <w:contextualSpacing/>
              <w:jc w:val="both"/>
            </w:pPr>
          </w:p>
        </w:tc>
      </w:tr>
      <w:tr w:rsidR="009016C6" w:rsidTr="005C28DA">
        <w:tc>
          <w:tcPr>
            <w:tcW w:w="704" w:type="dxa"/>
            <w:vMerge/>
          </w:tcPr>
          <w:p w:rsidR="009016C6" w:rsidRDefault="009016C6" w:rsidP="009016C6">
            <w:pPr>
              <w:contextualSpacing/>
            </w:pPr>
          </w:p>
        </w:tc>
        <w:tc>
          <w:tcPr>
            <w:tcW w:w="420" w:type="dxa"/>
          </w:tcPr>
          <w:p w:rsidR="009016C6" w:rsidRDefault="009016C6" w:rsidP="009016C6">
            <w:pPr>
              <w:contextualSpacing/>
              <w:jc w:val="center"/>
            </w:pPr>
            <w:r>
              <w:t>B.</w:t>
            </w:r>
          </w:p>
        </w:tc>
        <w:tc>
          <w:tcPr>
            <w:tcW w:w="7938" w:type="dxa"/>
            <w:vAlign w:val="center"/>
          </w:tcPr>
          <w:p w:rsidR="009016C6" w:rsidRDefault="009016C6" w:rsidP="009016C6">
            <w:pPr>
              <w:contextualSpacing/>
              <w:jc w:val="both"/>
            </w:pPr>
            <w:r>
              <w:t>manage</w:t>
            </w:r>
          </w:p>
        </w:tc>
        <w:tc>
          <w:tcPr>
            <w:tcW w:w="573" w:type="dxa"/>
            <w:vMerge/>
          </w:tcPr>
          <w:p w:rsidR="009016C6" w:rsidRDefault="009016C6" w:rsidP="009016C6">
            <w:pPr>
              <w:contextualSpacing/>
              <w:jc w:val="both"/>
            </w:pPr>
          </w:p>
        </w:tc>
      </w:tr>
      <w:tr w:rsidR="009016C6" w:rsidTr="005C28DA">
        <w:tc>
          <w:tcPr>
            <w:tcW w:w="704" w:type="dxa"/>
            <w:vMerge/>
          </w:tcPr>
          <w:p w:rsidR="009016C6" w:rsidRDefault="009016C6" w:rsidP="009016C6">
            <w:pPr>
              <w:contextualSpacing/>
            </w:pPr>
          </w:p>
        </w:tc>
        <w:tc>
          <w:tcPr>
            <w:tcW w:w="420" w:type="dxa"/>
          </w:tcPr>
          <w:p w:rsidR="009016C6" w:rsidRDefault="009016C6" w:rsidP="009016C6">
            <w:pPr>
              <w:contextualSpacing/>
              <w:jc w:val="center"/>
            </w:pPr>
            <w:r>
              <w:t>C.</w:t>
            </w:r>
          </w:p>
        </w:tc>
        <w:tc>
          <w:tcPr>
            <w:tcW w:w="7938" w:type="dxa"/>
            <w:vAlign w:val="center"/>
          </w:tcPr>
          <w:p w:rsidR="009016C6" w:rsidRDefault="009016C6" w:rsidP="009016C6">
            <w:pPr>
              <w:contextualSpacing/>
            </w:pPr>
            <w:r>
              <w:t>perform</w:t>
            </w:r>
          </w:p>
        </w:tc>
        <w:tc>
          <w:tcPr>
            <w:tcW w:w="573" w:type="dxa"/>
            <w:vMerge/>
          </w:tcPr>
          <w:p w:rsidR="009016C6" w:rsidRDefault="009016C6" w:rsidP="009016C6">
            <w:pPr>
              <w:contextualSpacing/>
              <w:jc w:val="both"/>
            </w:pPr>
          </w:p>
        </w:tc>
      </w:tr>
      <w:tr w:rsidR="009016C6" w:rsidTr="005C28DA">
        <w:tc>
          <w:tcPr>
            <w:tcW w:w="704" w:type="dxa"/>
            <w:vMerge/>
          </w:tcPr>
          <w:p w:rsidR="009016C6" w:rsidRDefault="009016C6" w:rsidP="009016C6">
            <w:pPr>
              <w:contextualSpacing/>
            </w:pPr>
          </w:p>
        </w:tc>
        <w:tc>
          <w:tcPr>
            <w:tcW w:w="420" w:type="dxa"/>
          </w:tcPr>
          <w:p w:rsidR="009016C6" w:rsidRPr="0006277E" w:rsidRDefault="009016C6" w:rsidP="009016C6">
            <w:pPr>
              <w:contextualSpacing/>
              <w:jc w:val="center"/>
              <w:rPr>
                <w:color w:val="FF0000"/>
              </w:rPr>
            </w:pPr>
            <w:r w:rsidRPr="0006277E">
              <w:t>D.</w:t>
            </w:r>
          </w:p>
        </w:tc>
        <w:tc>
          <w:tcPr>
            <w:tcW w:w="7938" w:type="dxa"/>
            <w:vAlign w:val="center"/>
          </w:tcPr>
          <w:p w:rsidR="009016C6" w:rsidRDefault="009016C6" w:rsidP="009016C6">
            <w:pPr>
              <w:contextualSpacing/>
            </w:pPr>
            <w:r>
              <w:t>supervise</w:t>
            </w:r>
          </w:p>
        </w:tc>
        <w:tc>
          <w:tcPr>
            <w:tcW w:w="573" w:type="dxa"/>
            <w:vMerge/>
          </w:tcPr>
          <w:p w:rsidR="009016C6" w:rsidRDefault="009016C6" w:rsidP="009016C6">
            <w:pPr>
              <w:contextualSpacing/>
              <w:jc w:val="both"/>
            </w:pPr>
          </w:p>
        </w:tc>
      </w:tr>
      <w:tr w:rsidR="009016C6" w:rsidTr="009016C6">
        <w:tc>
          <w:tcPr>
            <w:tcW w:w="9635" w:type="dxa"/>
            <w:gridSpan w:val="4"/>
          </w:tcPr>
          <w:p w:rsidR="009016C6" w:rsidRDefault="009016C6" w:rsidP="009016C6">
            <w:pPr>
              <w:contextualSpacing/>
              <w:rPr>
                <w:color w:val="FF0000"/>
              </w:rPr>
            </w:pPr>
          </w:p>
        </w:tc>
      </w:tr>
    </w:tbl>
    <w:p w:rsidR="00833D98" w:rsidRDefault="00833D98">
      <w:r>
        <w:br w:type="page"/>
      </w: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9016C6" w:rsidTr="009016C6">
        <w:tc>
          <w:tcPr>
            <w:tcW w:w="704" w:type="dxa"/>
            <w:vMerge w:val="restart"/>
          </w:tcPr>
          <w:p w:rsidR="009016C6" w:rsidRDefault="009016C6" w:rsidP="009016C6">
            <w:pPr>
              <w:contextualSpacing/>
            </w:pPr>
            <w:r>
              <w:lastRenderedPageBreak/>
              <w:t>3.3</w:t>
            </w:r>
          </w:p>
        </w:tc>
        <w:tc>
          <w:tcPr>
            <w:tcW w:w="8358" w:type="dxa"/>
            <w:gridSpan w:val="2"/>
            <w:vAlign w:val="center"/>
          </w:tcPr>
          <w:p w:rsidR="009016C6" w:rsidRDefault="009016C6" w:rsidP="009016C6">
            <w:pPr>
              <w:contextualSpacing/>
              <w:jc w:val="both"/>
            </w:pPr>
            <w:r w:rsidRPr="00E214FA">
              <w:t xml:space="preserve">The term </w:t>
            </w:r>
            <w:r w:rsidR="004718C5">
              <w:t>'practical completion'</w:t>
            </w:r>
            <w:r w:rsidRPr="00E214FA">
              <w:t xml:space="preserve"> has an absolute legal definition</w:t>
            </w:r>
            <w:r>
              <w:t>.</w:t>
            </w:r>
          </w:p>
        </w:tc>
        <w:tc>
          <w:tcPr>
            <w:tcW w:w="573" w:type="dxa"/>
            <w:vMerge w:val="restart"/>
          </w:tcPr>
          <w:p w:rsidR="009016C6" w:rsidRDefault="009016C6" w:rsidP="005F5CC0">
            <w:pPr>
              <w:contextualSpacing/>
              <w:jc w:val="center"/>
            </w:pPr>
            <w:r>
              <w:t>(</w:t>
            </w:r>
            <w:r w:rsidR="005F5CC0">
              <w:t>3</w:t>
            </w:r>
            <w:r>
              <w:t>)</w:t>
            </w:r>
          </w:p>
        </w:tc>
      </w:tr>
      <w:tr w:rsidR="009016C6" w:rsidTr="009016C6">
        <w:tc>
          <w:tcPr>
            <w:tcW w:w="704" w:type="dxa"/>
            <w:vMerge/>
          </w:tcPr>
          <w:p w:rsidR="009016C6" w:rsidRDefault="009016C6" w:rsidP="009016C6">
            <w:pPr>
              <w:contextualSpacing/>
            </w:pPr>
          </w:p>
        </w:tc>
        <w:tc>
          <w:tcPr>
            <w:tcW w:w="420" w:type="dxa"/>
          </w:tcPr>
          <w:p w:rsidR="009016C6" w:rsidRDefault="009016C6" w:rsidP="009016C6">
            <w:pPr>
              <w:contextualSpacing/>
              <w:jc w:val="center"/>
            </w:pPr>
            <w:r>
              <w:t>A.</w:t>
            </w:r>
          </w:p>
        </w:tc>
        <w:tc>
          <w:tcPr>
            <w:tcW w:w="7938" w:type="dxa"/>
          </w:tcPr>
          <w:p w:rsidR="009016C6" w:rsidRDefault="009016C6" w:rsidP="009016C6">
            <w:pPr>
              <w:contextualSpacing/>
              <w:jc w:val="both"/>
            </w:pPr>
            <w:r>
              <w:t>TRUE</w:t>
            </w:r>
          </w:p>
        </w:tc>
        <w:tc>
          <w:tcPr>
            <w:tcW w:w="573" w:type="dxa"/>
            <w:vMerge/>
          </w:tcPr>
          <w:p w:rsidR="009016C6" w:rsidRDefault="009016C6" w:rsidP="009016C6">
            <w:pPr>
              <w:contextualSpacing/>
              <w:jc w:val="both"/>
            </w:pPr>
          </w:p>
        </w:tc>
      </w:tr>
      <w:tr w:rsidR="009016C6" w:rsidTr="0026324D">
        <w:tc>
          <w:tcPr>
            <w:tcW w:w="704" w:type="dxa"/>
            <w:vMerge/>
          </w:tcPr>
          <w:p w:rsidR="009016C6" w:rsidRDefault="009016C6" w:rsidP="009016C6">
            <w:pPr>
              <w:contextualSpacing/>
            </w:pPr>
          </w:p>
        </w:tc>
        <w:tc>
          <w:tcPr>
            <w:tcW w:w="420" w:type="dxa"/>
          </w:tcPr>
          <w:p w:rsidR="009016C6" w:rsidRPr="006E4F9A" w:rsidRDefault="009016C6" w:rsidP="009016C6">
            <w:pPr>
              <w:contextualSpacing/>
              <w:jc w:val="center"/>
              <w:rPr>
                <w:color w:val="FF0000"/>
              </w:rPr>
            </w:pPr>
            <w:r w:rsidRPr="006E4F9A">
              <w:rPr>
                <w:color w:val="FF0000"/>
              </w:rPr>
              <w:t>B.</w:t>
            </w:r>
          </w:p>
        </w:tc>
        <w:tc>
          <w:tcPr>
            <w:tcW w:w="7938" w:type="dxa"/>
            <w:vAlign w:val="center"/>
          </w:tcPr>
          <w:p w:rsidR="009016C6" w:rsidRPr="006E4F9A" w:rsidRDefault="009016C6" w:rsidP="009016C6">
            <w:pPr>
              <w:contextualSpacing/>
              <w:jc w:val="both"/>
              <w:rPr>
                <w:color w:val="FF0000"/>
              </w:rPr>
            </w:pPr>
            <w:r w:rsidRPr="006E4F9A">
              <w:rPr>
                <w:color w:val="FF0000"/>
              </w:rPr>
              <w:t>FALSE</w:t>
            </w:r>
          </w:p>
        </w:tc>
        <w:tc>
          <w:tcPr>
            <w:tcW w:w="573" w:type="dxa"/>
            <w:vMerge/>
          </w:tcPr>
          <w:p w:rsidR="009016C6" w:rsidRDefault="009016C6" w:rsidP="009016C6">
            <w:pPr>
              <w:contextualSpacing/>
              <w:jc w:val="both"/>
            </w:pPr>
          </w:p>
        </w:tc>
      </w:tr>
      <w:tr w:rsidR="009016C6" w:rsidTr="009016C6">
        <w:tc>
          <w:tcPr>
            <w:tcW w:w="9635" w:type="dxa"/>
            <w:gridSpan w:val="4"/>
          </w:tcPr>
          <w:p w:rsidR="009016C6" w:rsidRDefault="009016C6" w:rsidP="009016C6">
            <w:pPr>
              <w:contextualSpacing/>
              <w:rPr>
                <w:color w:val="FF0000"/>
              </w:rPr>
            </w:pPr>
          </w:p>
        </w:tc>
      </w:tr>
      <w:tr w:rsidR="009016C6" w:rsidTr="009016C6">
        <w:tc>
          <w:tcPr>
            <w:tcW w:w="704" w:type="dxa"/>
            <w:vMerge w:val="restart"/>
          </w:tcPr>
          <w:p w:rsidR="009016C6" w:rsidRDefault="009016C6" w:rsidP="009016C6">
            <w:pPr>
              <w:contextualSpacing/>
            </w:pPr>
            <w:r>
              <w:t>3.4</w:t>
            </w:r>
          </w:p>
        </w:tc>
        <w:tc>
          <w:tcPr>
            <w:tcW w:w="8358" w:type="dxa"/>
            <w:gridSpan w:val="2"/>
            <w:vAlign w:val="center"/>
          </w:tcPr>
          <w:p w:rsidR="009016C6" w:rsidRDefault="009016C6" w:rsidP="009016C6">
            <w:pPr>
              <w:contextualSpacing/>
              <w:jc w:val="both"/>
            </w:pPr>
            <w:r>
              <w:t xml:space="preserve">In the </w:t>
            </w:r>
            <w:proofErr w:type="spellStart"/>
            <w:r>
              <w:t>JBCC</w:t>
            </w:r>
            <w:proofErr w:type="spellEnd"/>
            <w:r>
              <w:t>-PBA,</w:t>
            </w:r>
            <w:r w:rsidRPr="005555DA">
              <w:t xml:space="preserve"> if a dispute or a disagreement has been declared…</w:t>
            </w:r>
          </w:p>
        </w:tc>
        <w:tc>
          <w:tcPr>
            <w:tcW w:w="573" w:type="dxa"/>
            <w:vMerge w:val="restart"/>
          </w:tcPr>
          <w:p w:rsidR="009016C6" w:rsidRDefault="009016C6" w:rsidP="005F5CC0">
            <w:pPr>
              <w:contextualSpacing/>
              <w:jc w:val="center"/>
            </w:pPr>
            <w:r>
              <w:t>(</w:t>
            </w:r>
            <w:r w:rsidR="005F5CC0">
              <w:t>3</w:t>
            </w:r>
            <w:r>
              <w:t>)</w:t>
            </w:r>
          </w:p>
        </w:tc>
      </w:tr>
      <w:tr w:rsidR="009016C6" w:rsidTr="009016C6">
        <w:tc>
          <w:tcPr>
            <w:tcW w:w="704" w:type="dxa"/>
            <w:vMerge/>
          </w:tcPr>
          <w:p w:rsidR="009016C6" w:rsidRDefault="009016C6" w:rsidP="009016C6">
            <w:pPr>
              <w:contextualSpacing/>
            </w:pPr>
          </w:p>
        </w:tc>
        <w:tc>
          <w:tcPr>
            <w:tcW w:w="420" w:type="dxa"/>
          </w:tcPr>
          <w:p w:rsidR="009016C6" w:rsidRDefault="009016C6" w:rsidP="009016C6">
            <w:pPr>
              <w:contextualSpacing/>
              <w:jc w:val="center"/>
            </w:pPr>
            <w:r>
              <w:t>A.</w:t>
            </w:r>
          </w:p>
        </w:tc>
        <w:tc>
          <w:tcPr>
            <w:tcW w:w="7938" w:type="dxa"/>
          </w:tcPr>
          <w:p w:rsidR="009016C6" w:rsidRDefault="009016C6" w:rsidP="009016C6">
            <w:pPr>
              <w:contextualSpacing/>
              <w:jc w:val="both"/>
            </w:pPr>
            <w:r>
              <w:t>the principal agent must cease issuing payment certificates</w:t>
            </w:r>
          </w:p>
        </w:tc>
        <w:tc>
          <w:tcPr>
            <w:tcW w:w="573" w:type="dxa"/>
            <w:vMerge/>
          </w:tcPr>
          <w:p w:rsidR="009016C6" w:rsidRDefault="009016C6" w:rsidP="009016C6">
            <w:pPr>
              <w:contextualSpacing/>
              <w:jc w:val="both"/>
            </w:pPr>
          </w:p>
        </w:tc>
      </w:tr>
      <w:tr w:rsidR="009016C6" w:rsidTr="005D60F5">
        <w:tc>
          <w:tcPr>
            <w:tcW w:w="704" w:type="dxa"/>
            <w:vMerge/>
          </w:tcPr>
          <w:p w:rsidR="009016C6" w:rsidRDefault="009016C6" w:rsidP="009016C6">
            <w:pPr>
              <w:contextualSpacing/>
            </w:pPr>
          </w:p>
        </w:tc>
        <w:tc>
          <w:tcPr>
            <w:tcW w:w="420" w:type="dxa"/>
          </w:tcPr>
          <w:p w:rsidR="009016C6" w:rsidRDefault="009016C6" w:rsidP="009016C6">
            <w:pPr>
              <w:contextualSpacing/>
              <w:jc w:val="center"/>
            </w:pPr>
            <w:r>
              <w:t>B.</w:t>
            </w:r>
          </w:p>
        </w:tc>
        <w:tc>
          <w:tcPr>
            <w:tcW w:w="7938" w:type="dxa"/>
            <w:vAlign w:val="center"/>
          </w:tcPr>
          <w:p w:rsidR="009016C6" w:rsidRDefault="009016C6" w:rsidP="009016C6">
            <w:pPr>
              <w:contextualSpacing/>
              <w:jc w:val="both"/>
            </w:pPr>
            <w:r>
              <w:t>the contractor must vacate the site</w:t>
            </w:r>
          </w:p>
        </w:tc>
        <w:tc>
          <w:tcPr>
            <w:tcW w:w="573" w:type="dxa"/>
            <w:vMerge/>
          </w:tcPr>
          <w:p w:rsidR="009016C6" w:rsidRDefault="009016C6" w:rsidP="009016C6">
            <w:pPr>
              <w:contextualSpacing/>
              <w:jc w:val="both"/>
            </w:pPr>
          </w:p>
        </w:tc>
      </w:tr>
      <w:tr w:rsidR="009016C6" w:rsidTr="005D60F5">
        <w:tc>
          <w:tcPr>
            <w:tcW w:w="704" w:type="dxa"/>
            <w:vMerge/>
          </w:tcPr>
          <w:p w:rsidR="009016C6" w:rsidRDefault="009016C6" w:rsidP="009016C6">
            <w:pPr>
              <w:contextualSpacing/>
            </w:pPr>
          </w:p>
        </w:tc>
        <w:tc>
          <w:tcPr>
            <w:tcW w:w="420" w:type="dxa"/>
          </w:tcPr>
          <w:p w:rsidR="009016C6" w:rsidRDefault="009016C6" w:rsidP="009016C6">
            <w:pPr>
              <w:contextualSpacing/>
              <w:jc w:val="center"/>
            </w:pPr>
            <w:r w:rsidRPr="006E4F9A">
              <w:rPr>
                <w:color w:val="FF0000"/>
              </w:rPr>
              <w:t>C.</w:t>
            </w:r>
          </w:p>
        </w:tc>
        <w:tc>
          <w:tcPr>
            <w:tcW w:w="7938" w:type="dxa"/>
            <w:vAlign w:val="center"/>
          </w:tcPr>
          <w:p w:rsidR="009016C6" w:rsidRPr="006E4F9A" w:rsidRDefault="009016C6" w:rsidP="009016C6">
            <w:pPr>
              <w:contextualSpacing/>
              <w:jc w:val="both"/>
              <w:rPr>
                <w:color w:val="FF0000"/>
              </w:rPr>
            </w:pPr>
            <w:r w:rsidRPr="00E214FA">
              <w:rPr>
                <w:color w:val="FF0000"/>
              </w:rPr>
              <w:t>both parties must continu</w:t>
            </w:r>
            <w:r>
              <w:rPr>
                <w:color w:val="FF0000"/>
              </w:rPr>
              <w:t>e to perform their obligations</w:t>
            </w:r>
          </w:p>
        </w:tc>
        <w:tc>
          <w:tcPr>
            <w:tcW w:w="573" w:type="dxa"/>
            <w:vMerge/>
          </w:tcPr>
          <w:p w:rsidR="009016C6" w:rsidRDefault="009016C6" w:rsidP="009016C6">
            <w:pPr>
              <w:contextualSpacing/>
              <w:jc w:val="both"/>
            </w:pPr>
          </w:p>
        </w:tc>
      </w:tr>
      <w:tr w:rsidR="009016C6" w:rsidTr="005D60F5">
        <w:tc>
          <w:tcPr>
            <w:tcW w:w="704" w:type="dxa"/>
            <w:vMerge/>
          </w:tcPr>
          <w:p w:rsidR="009016C6" w:rsidRDefault="009016C6" w:rsidP="009016C6">
            <w:pPr>
              <w:contextualSpacing/>
            </w:pPr>
          </w:p>
        </w:tc>
        <w:tc>
          <w:tcPr>
            <w:tcW w:w="420" w:type="dxa"/>
          </w:tcPr>
          <w:p w:rsidR="009016C6" w:rsidRPr="0006277E" w:rsidRDefault="009016C6" w:rsidP="009016C6">
            <w:pPr>
              <w:contextualSpacing/>
              <w:jc w:val="center"/>
              <w:rPr>
                <w:color w:val="FF0000"/>
              </w:rPr>
            </w:pPr>
            <w:r w:rsidRPr="0006277E">
              <w:t>D.</w:t>
            </w:r>
          </w:p>
        </w:tc>
        <w:tc>
          <w:tcPr>
            <w:tcW w:w="7938" w:type="dxa"/>
            <w:vAlign w:val="center"/>
          </w:tcPr>
          <w:p w:rsidR="009016C6" w:rsidRDefault="009016C6" w:rsidP="009016C6">
            <w:pPr>
              <w:contextualSpacing/>
            </w:pPr>
            <w:r>
              <w:t>the employer takes possession of the site from the contractor</w:t>
            </w:r>
          </w:p>
        </w:tc>
        <w:tc>
          <w:tcPr>
            <w:tcW w:w="573" w:type="dxa"/>
            <w:vMerge/>
          </w:tcPr>
          <w:p w:rsidR="009016C6" w:rsidRDefault="009016C6" w:rsidP="009016C6">
            <w:pPr>
              <w:contextualSpacing/>
              <w:jc w:val="both"/>
            </w:pPr>
          </w:p>
        </w:tc>
      </w:tr>
      <w:tr w:rsidR="009016C6" w:rsidTr="009016C6">
        <w:tc>
          <w:tcPr>
            <w:tcW w:w="9635" w:type="dxa"/>
            <w:gridSpan w:val="4"/>
          </w:tcPr>
          <w:p w:rsidR="009016C6" w:rsidRDefault="009016C6" w:rsidP="009016C6">
            <w:pPr>
              <w:contextualSpacing/>
              <w:rPr>
                <w:color w:val="FF0000"/>
              </w:rPr>
            </w:pPr>
          </w:p>
        </w:tc>
      </w:tr>
      <w:tr w:rsidR="009016C6" w:rsidTr="009016C6">
        <w:tc>
          <w:tcPr>
            <w:tcW w:w="704" w:type="dxa"/>
            <w:vMerge w:val="restart"/>
          </w:tcPr>
          <w:p w:rsidR="009016C6" w:rsidRDefault="009016C6" w:rsidP="009016C6">
            <w:pPr>
              <w:contextualSpacing/>
            </w:pPr>
            <w:r>
              <w:t>3.5</w:t>
            </w:r>
          </w:p>
        </w:tc>
        <w:tc>
          <w:tcPr>
            <w:tcW w:w="8358" w:type="dxa"/>
            <w:gridSpan w:val="2"/>
            <w:vAlign w:val="center"/>
          </w:tcPr>
          <w:p w:rsidR="009016C6" w:rsidRDefault="009016C6" w:rsidP="009016C6">
            <w:pPr>
              <w:contextualSpacing/>
              <w:jc w:val="both"/>
            </w:pPr>
            <w:r w:rsidRPr="00E214FA">
              <w:t xml:space="preserve">In the </w:t>
            </w:r>
            <w:proofErr w:type="spellStart"/>
            <w:r w:rsidRPr="00E214FA">
              <w:t>JBCC</w:t>
            </w:r>
            <w:proofErr w:type="spellEnd"/>
            <w:r w:rsidRPr="00E214FA">
              <w:t>-PBA, the latent defects liability period runs…</w:t>
            </w:r>
          </w:p>
        </w:tc>
        <w:tc>
          <w:tcPr>
            <w:tcW w:w="573" w:type="dxa"/>
            <w:vMerge w:val="restart"/>
          </w:tcPr>
          <w:p w:rsidR="009016C6" w:rsidRDefault="009016C6" w:rsidP="005F5CC0">
            <w:pPr>
              <w:contextualSpacing/>
              <w:jc w:val="center"/>
            </w:pPr>
            <w:r>
              <w:t>(</w:t>
            </w:r>
            <w:r w:rsidR="005F5CC0">
              <w:t>3</w:t>
            </w:r>
            <w:r>
              <w:t>)</w:t>
            </w:r>
          </w:p>
        </w:tc>
      </w:tr>
      <w:tr w:rsidR="009016C6" w:rsidTr="009016C6">
        <w:tc>
          <w:tcPr>
            <w:tcW w:w="704" w:type="dxa"/>
            <w:vMerge/>
          </w:tcPr>
          <w:p w:rsidR="009016C6" w:rsidRDefault="009016C6" w:rsidP="009016C6">
            <w:pPr>
              <w:contextualSpacing/>
            </w:pPr>
          </w:p>
        </w:tc>
        <w:tc>
          <w:tcPr>
            <w:tcW w:w="420" w:type="dxa"/>
          </w:tcPr>
          <w:p w:rsidR="009016C6" w:rsidRDefault="009016C6" w:rsidP="009016C6">
            <w:pPr>
              <w:contextualSpacing/>
              <w:jc w:val="center"/>
            </w:pPr>
            <w:r>
              <w:t>A.</w:t>
            </w:r>
          </w:p>
        </w:tc>
        <w:tc>
          <w:tcPr>
            <w:tcW w:w="7938" w:type="dxa"/>
          </w:tcPr>
          <w:p w:rsidR="009016C6" w:rsidRDefault="009016C6" w:rsidP="009016C6">
            <w:pPr>
              <w:contextualSpacing/>
              <w:jc w:val="both"/>
            </w:pPr>
            <w:r w:rsidRPr="006E4F9A">
              <w:t>from when the tender is awarded</w:t>
            </w:r>
          </w:p>
        </w:tc>
        <w:tc>
          <w:tcPr>
            <w:tcW w:w="573" w:type="dxa"/>
            <w:vMerge/>
          </w:tcPr>
          <w:p w:rsidR="009016C6" w:rsidRDefault="009016C6" w:rsidP="009016C6">
            <w:pPr>
              <w:contextualSpacing/>
              <w:jc w:val="both"/>
            </w:pPr>
          </w:p>
        </w:tc>
      </w:tr>
      <w:tr w:rsidR="009016C6" w:rsidTr="007D4C38">
        <w:tc>
          <w:tcPr>
            <w:tcW w:w="704" w:type="dxa"/>
            <w:vMerge/>
          </w:tcPr>
          <w:p w:rsidR="009016C6" w:rsidRDefault="009016C6" w:rsidP="009016C6">
            <w:pPr>
              <w:contextualSpacing/>
            </w:pPr>
          </w:p>
        </w:tc>
        <w:tc>
          <w:tcPr>
            <w:tcW w:w="420" w:type="dxa"/>
          </w:tcPr>
          <w:p w:rsidR="009016C6" w:rsidRDefault="009016C6" w:rsidP="009016C6">
            <w:pPr>
              <w:contextualSpacing/>
              <w:jc w:val="center"/>
            </w:pPr>
            <w:r w:rsidRPr="006E4F9A">
              <w:rPr>
                <w:color w:val="FF0000"/>
              </w:rPr>
              <w:t>B.</w:t>
            </w:r>
          </w:p>
        </w:tc>
        <w:tc>
          <w:tcPr>
            <w:tcW w:w="7938" w:type="dxa"/>
            <w:vAlign w:val="center"/>
          </w:tcPr>
          <w:p w:rsidR="009016C6" w:rsidRDefault="009016C6" w:rsidP="009016C6">
            <w:pPr>
              <w:contextualSpacing/>
              <w:jc w:val="both"/>
            </w:pPr>
            <w:r w:rsidRPr="00E214FA">
              <w:rPr>
                <w:color w:val="FF0000"/>
              </w:rPr>
              <w:t>from when the site is handed over</w:t>
            </w:r>
          </w:p>
        </w:tc>
        <w:tc>
          <w:tcPr>
            <w:tcW w:w="573" w:type="dxa"/>
            <w:vMerge/>
          </w:tcPr>
          <w:p w:rsidR="009016C6" w:rsidRDefault="009016C6" w:rsidP="009016C6">
            <w:pPr>
              <w:contextualSpacing/>
              <w:jc w:val="both"/>
            </w:pPr>
          </w:p>
        </w:tc>
      </w:tr>
      <w:tr w:rsidR="009016C6" w:rsidTr="007D4C38">
        <w:tc>
          <w:tcPr>
            <w:tcW w:w="704" w:type="dxa"/>
            <w:vMerge/>
          </w:tcPr>
          <w:p w:rsidR="009016C6" w:rsidRDefault="009016C6" w:rsidP="009016C6">
            <w:pPr>
              <w:contextualSpacing/>
            </w:pPr>
          </w:p>
        </w:tc>
        <w:tc>
          <w:tcPr>
            <w:tcW w:w="420" w:type="dxa"/>
          </w:tcPr>
          <w:p w:rsidR="009016C6" w:rsidRDefault="009016C6" w:rsidP="009016C6">
            <w:pPr>
              <w:contextualSpacing/>
              <w:jc w:val="center"/>
            </w:pPr>
            <w:r>
              <w:t>C.</w:t>
            </w:r>
          </w:p>
        </w:tc>
        <w:tc>
          <w:tcPr>
            <w:tcW w:w="7938" w:type="dxa"/>
            <w:vAlign w:val="center"/>
          </w:tcPr>
          <w:p w:rsidR="009016C6" w:rsidRDefault="009016C6" w:rsidP="009016C6">
            <w:pPr>
              <w:contextualSpacing/>
            </w:pPr>
            <w:r>
              <w:t>until practical completion</w:t>
            </w:r>
          </w:p>
        </w:tc>
        <w:tc>
          <w:tcPr>
            <w:tcW w:w="573" w:type="dxa"/>
            <w:vMerge/>
          </w:tcPr>
          <w:p w:rsidR="009016C6" w:rsidRDefault="009016C6" w:rsidP="009016C6">
            <w:pPr>
              <w:contextualSpacing/>
              <w:jc w:val="both"/>
            </w:pPr>
          </w:p>
        </w:tc>
      </w:tr>
      <w:tr w:rsidR="009016C6" w:rsidTr="007D4C38">
        <w:tc>
          <w:tcPr>
            <w:tcW w:w="704" w:type="dxa"/>
            <w:vMerge/>
          </w:tcPr>
          <w:p w:rsidR="009016C6" w:rsidRDefault="009016C6" w:rsidP="009016C6">
            <w:pPr>
              <w:contextualSpacing/>
            </w:pPr>
          </w:p>
        </w:tc>
        <w:tc>
          <w:tcPr>
            <w:tcW w:w="420" w:type="dxa"/>
          </w:tcPr>
          <w:p w:rsidR="009016C6" w:rsidRPr="0006277E" w:rsidRDefault="009016C6" w:rsidP="009016C6">
            <w:pPr>
              <w:contextualSpacing/>
              <w:jc w:val="center"/>
              <w:rPr>
                <w:color w:val="FF0000"/>
              </w:rPr>
            </w:pPr>
            <w:r w:rsidRPr="0006277E">
              <w:t>D.</w:t>
            </w:r>
          </w:p>
        </w:tc>
        <w:tc>
          <w:tcPr>
            <w:tcW w:w="7938" w:type="dxa"/>
            <w:vAlign w:val="center"/>
          </w:tcPr>
          <w:p w:rsidR="009016C6" w:rsidRDefault="009016C6" w:rsidP="009016C6">
            <w:pPr>
              <w:contextualSpacing/>
            </w:pPr>
            <w:r>
              <w:t>until the final payment certificate is issued</w:t>
            </w:r>
          </w:p>
        </w:tc>
        <w:tc>
          <w:tcPr>
            <w:tcW w:w="573" w:type="dxa"/>
            <w:vMerge/>
          </w:tcPr>
          <w:p w:rsidR="009016C6" w:rsidRDefault="009016C6" w:rsidP="009016C6">
            <w:pPr>
              <w:contextualSpacing/>
              <w:jc w:val="both"/>
            </w:pPr>
          </w:p>
        </w:tc>
      </w:tr>
      <w:tr w:rsidR="009016C6" w:rsidTr="009016C6">
        <w:tc>
          <w:tcPr>
            <w:tcW w:w="9635" w:type="dxa"/>
            <w:gridSpan w:val="4"/>
          </w:tcPr>
          <w:p w:rsidR="009016C6" w:rsidRDefault="009016C6" w:rsidP="009016C6">
            <w:pPr>
              <w:contextualSpacing/>
              <w:rPr>
                <w:color w:val="FF0000"/>
              </w:rPr>
            </w:pPr>
          </w:p>
        </w:tc>
      </w:tr>
    </w:tbl>
    <w:p w:rsidR="00A03FD2" w:rsidRDefault="00A03FD2" w:rsidP="00415E9F">
      <w:pPr>
        <w:spacing w:after="0" w:line="240" w:lineRule="auto"/>
        <w:contextualSpacing/>
        <w:jc w:val="both"/>
      </w:pPr>
    </w:p>
    <w:p w:rsidR="00FE023F" w:rsidRDefault="00FE023F" w:rsidP="00415E9F">
      <w:pPr>
        <w:spacing w:after="0" w:line="240" w:lineRule="auto"/>
        <w:contextualSpacing/>
        <w:jc w:val="both"/>
      </w:pPr>
    </w:p>
    <w:p w:rsidR="005F5CC0" w:rsidRPr="008F2399" w:rsidRDefault="005F5CC0" w:rsidP="005F5CC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4</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18</w:t>
      </w:r>
      <w:r w:rsidRPr="000E439C">
        <w:rPr>
          <w:rFonts w:ascii="Century Gothic" w:hAnsi="Century Gothic"/>
          <w:bCs/>
          <w:i/>
          <w:color w:val="7F7F7F" w:themeColor="text1" w:themeTint="80"/>
          <w:spacing w:val="20"/>
          <w:szCs w:val="25"/>
        </w:rPr>
        <w:t xml:space="preserve"> marks</w:t>
      </w:r>
    </w:p>
    <w:p w:rsidR="009016C6" w:rsidRDefault="009016C6"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5F5CC0" w:rsidTr="00330213">
        <w:tc>
          <w:tcPr>
            <w:tcW w:w="704" w:type="dxa"/>
            <w:vMerge w:val="restart"/>
          </w:tcPr>
          <w:p w:rsidR="005F5CC0" w:rsidRDefault="005F5CC0" w:rsidP="00330213">
            <w:pPr>
              <w:contextualSpacing/>
            </w:pPr>
            <w:r>
              <w:t>4.1</w:t>
            </w:r>
          </w:p>
        </w:tc>
        <w:tc>
          <w:tcPr>
            <w:tcW w:w="8358" w:type="dxa"/>
            <w:vAlign w:val="center"/>
          </w:tcPr>
          <w:p w:rsidR="005F5CC0" w:rsidRDefault="005F5CC0" w:rsidP="005F5CC0">
            <w:pPr>
              <w:contextualSpacing/>
              <w:jc w:val="both"/>
            </w:pPr>
            <w:r>
              <w:t>Your client on a residential project has decided to make use of a contractor that was recommended by a family friend. The contractor prepared a bespoke contract for the project, and the client has asked you whether this would be a good idea. What would you advise and why?</w:t>
            </w:r>
          </w:p>
        </w:tc>
        <w:tc>
          <w:tcPr>
            <w:tcW w:w="573" w:type="dxa"/>
            <w:vMerge w:val="restart"/>
          </w:tcPr>
          <w:p w:rsidR="005F5CC0" w:rsidRDefault="00833D98" w:rsidP="00330213">
            <w:pPr>
              <w:contextualSpacing/>
              <w:jc w:val="center"/>
            </w:pPr>
            <w:r>
              <w:t>(8</w:t>
            </w:r>
            <w:r w:rsidR="005F5CC0">
              <w:t>)</w:t>
            </w:r>
          </w:p>
        </w:tc>
      </w:tr>
      <w:tr w:rsidR="005F5CC0" w:rsidTr="00330213">
        <w:tc>
          <w:tcPr>
            <w:tcW w:w="704" w:type="dxa"/>
            <w:vMerge/>
          </w:tcPr>
          <w:p w:rsidR="005F5CC0" w:rsidRDefault="005F5CC0" w:rsidP="00330213">
            <w:pPr>
              <w:contextualSpacing/>
            </w:pPr>
          </w:p>
        </w:tc>
        <w:tc>
          <w:tcPr>
            <w:tcW w:w="8358" w:type="dxa"/>
            <w:vAlign w:val="center"/>
          </w:tcPr>
          <w:p w:rsidR="005F5CC0" w:rsidRDefault="005F5CC0" w:rsidP="00330213">
            <w:pPr>
              <w:contextualSpacing/>
              <w:rPr>
                <w:color w:val="FF0000"/>
              </w:rPr>
            </w:pPr>
            <w:r>
              <w:rPr>
                <w:color w:val="FF0000"/>
              </w:rPr>
              <w:t xml:space="preserve">Advise the client to enter into a </w:t>
            </w:r>
            <w:r w:rsidRPr="005F5CC0">
              <w:rPr>
                <w:i/>
                <w:color w:val="FF0000"/>
              </w:rPr>
              <w:t>STANDARD FORM CONTRACT</w:t>
            </w:r>
            <w:r>
              <w:rPr>
                <w:color w:val="FF0000"/>
              </w:rPr>
              <w:t xml:space="preserve"> </w:t>
            </w:r>
            <w:r w:rsidR="00661691">
              <w:rPr>
                <w:color w:val="FF0000"/>
              </w:rPr>
              <w:t xml:space="preserve">such as a </w:t>
            </w:r>
            <w:proofErr w:type="spellStart"/>
            <w:r w:rsidR="00661691">
              <w:rPr>
                <w:color w:val="FF0000"/>
              </w:rPr>
              <w:t>JBCC</w:t>
            </w:r>
            <w:proofErr w:type="spellEnd"/>
            <w:r w:rsidR="00661691">
              <w:rPr>
                <w:color w:val="FF0000"/>
              </w:rPr>
              <w:t xml:space="preserve"> Principal Building or Minor Works agreement </w:t>
            </w:r>
            <w:r>
              <w:rPr>
                <w:color w:val="FF0000"/>
              </w:rPr>
              <w:t>for the following reasons:</w:t>
            </w:r>
          </w:p>
          <w:p w:rsidR="00661691" w:rsidRPr="00661691" w:rsidRDefault="00661691" w:rsidP="00661691">
            <w:pPr>
              <w:pStyle w:val="ListParagraph"/>
              <w:numPr>
                <w:ilvl w:val="0"/>
                <w:numId w:val="31"/>
              </w:numPr>
              <w:ind w:left="312" w:hanging="283"/>
              <w:rPr>
                <w:color w:val="FF0000"/>
              </w:rPr>
            </w:pPr>
            <w:r>
              <w:rPr>
                <w:color w:val="FF0000"/>
              </w:rPr>
              <w:t xml:space="preserve">Standard form contracts are </w:t>
            </w:r>
            <w:r w:rsidRPr="00661691">
              <w:rPr>
                <w:color w:val="FF0000"/>
              </w:rPr>
              <w:t xml:space="preserve">usually negotiated between different bodies that make up the industry </w:t>
            </w:r>
            <w:r w:rsidR="005F5CC0" w:rsidRPr="00661691">
              <w:rPr>
                <w:color w:val="FF0000"/>
              </w:rPr>
              <w:t>in  the  interests  of standardisation and good pr</w:t>
            </w:r>
            <w:r>
              <w:rPr>
                <w:color w:val="FF0000"/>
              </w:rPr>
              <w:t>actice</w:t>
            </w:r>
          </w:p>
          <w:p w:rsidR="00661691" w:rsidRPr="00661691" w:rsidRDefault="00661691" w:rsidP="00661691">
            <w:pPr>
              <w:pStyle w:val="ListParagraph"/>
              <w:numPr>
                <w:ilvl w:val="0"/>
                <w:numId w:val="31"/>
              </w:numPr>
              <w:ind w:left="312" w:hanging="283"/>
              <w:rPr>
                <w:color w:val="FF0000"/>
              </w:rPr>
            </w:pPr>
            <w:r>
              <w:rPr>
                <w:color w:val="FF0000"/>
              </w:rPr>
              <w:t xml:space="preserve">Standard form contracts </w:t>
            </w:r>
            <w:r w:rsidRPr="00661691">
              <w:rPr>
                <w:color w:val="FF0000"/>
              </w:rPr>
              <w:t xml:space="preserve">ensure </w:t>
            </w:r>
            <w:r>
              <w:rPr>
                <w:color w:val="FF0000"/>
              </w:rPr>
              <w:t xml:space="preserve">that the </w:t>
            </w:r>
            <w:r w:rsidRPr="00661691">
              <w:rPr>
                <w:color w:val="FF0000"/>
              </w:rPr>
              <w:t xml:space="preserve">risks between the contracting parties are more balanced </w:t>
            </w:r>
          </w:p>
          <w:p w:rsidR="005F5CC0" w:rsidRDefault="00661691" w:rsidP="00661691">
            <w:pPr>
              <w:pStyle w:val="ListParagraph"/>
              <w:numPr>
                <w:ilvl w:val="0"/>
                <w:numId w:val="31"/>
              </w:numPr>
              <w:ind w:left="312" w:hanging="283"/>
            </w:pPr>
            <w:r>
              <w:rPr>
                <w:color w:val="FF0000"/>
              </w:rPr>
              <w:t>A</w:t>
            </w:r>
            <w:r w:rsidRPr="00661691">
              <w:rPr>
                <w:color w:val="FF0000"/>
              </w:rPr>
              <w:t xml:space="preserve"> standard form </w:t>
            </w:r>
            <w:r>
              <w:rPr>
                <w:color w:val="FF0000"/>
              </w:rPr>
              <w:t xml:space="preserve">contract </w:t>
            </w:r>
            <w:r w:rsidRPr="00661691">
              <w:rPr>
                <w:color w:val="FF0000"/>
              </w:rPr>
              <w:t>avoids the cost and time of individually negotiated contracts</w:t>
            </w:r>
          </w:p>
        </w:tc>
        <w:tc>
          <w:tcPr>
            <w:tcW w:w="573" w:type="dxa"/>
            <w:vMerge/>
          </w:tcPr>
          <w:p w:rsidR="005F5CC0" w:rsidRDefault="005F5CC0" w:rsidP="00330213">
            <w:pPr>
              <w:contextualSpacing/>
              <w:jc w:val="center"/>
            </w:pPr>
          </w:p>
        </w:tc>
      </w:tr>
      <w:tr w:rsidR="00661691" w:rsidTr="009672BB">
        <w:tc>
          <w:tcPr>
            <w:tcW w:w="9635" w:type="dxa"/>
            <w:gridSpan w:val="3"/>
          </w:tcPr>
          <w:p w:rsidR="00661691" w:rsidRDefault="00661691" w:rsidP="00330213">
            <w:pPr>
              <w:contextualSpacing/>
              <w:jc w:val="center"/>
            </w:pPr>
          </w:p>
        </w:tc>
      </w:tr>
      <w:tr w:rsidR="0063457A" w:rsidTr="00330213">
        <w:tc>
          <w:tcPr>
            <w:tcW w:w="704" w:type="dxa"/>
            <w:vMerge w:val="restart"/>
          </w:tcPr>
          <w:p w:rsidR="0063457A" w:rsidRDefault="0063457A" w:rsidP="00330213">
            <w:pPr>
              <w:contextualSpacing/>
            </w:pPr>
            <w:r>
              <w:t>4.2</w:t>
            </w:r>
          </w:p>
        </w:tc>
        <w:tc>
          <w:tcPr>
            <w:tcW w:w="8358" w:type="dxa"/>
            <w:vAlign w:val="center"/>
          </w:tcPr>
          <w:p w:rsidR="0063457A" w:rsidRDefault="0063457A" w:rsidP="0063457A">
            <w:pPr>
              <w:contextualSpacing/>
              <w:jc w:val="both"/>
            </w:pPr>
            <w:r>
              <w:t xml:space="preserve">A project on which you are the architectural professional was administered by a project manager, who did not follow up on the signing of the </w:t>
            </w:r>
            <w:proofErr w:type="spellStart"/>
            <w:r>
              <w:t>JBCC</w:t>
            </w:r>
            <w:proofErr w:type="spellEnd"/>
            <w:r>
              <w:t xml:space="preserve"> Principal Building Agreement. There is now a dispute, and the contractor alleges that the contract cannot be enforced as it was not signed. The client has made payment of the certified amount in two payment certificates and now askes your advice on how to proceed.</w:t>
            </w:r>
            <w:r w:rsidR="00523A6C">
              <w:t xml:space="preserve"> What would you advise and why?</w:t>
            </w:r>
          </w:p>
        </w:tc>
        <w:tc>
          <w:tcPr>
            <w:tcW w:w="573" w:type="dxa"/>
            <w:vMerge w:val="restart"/>
          </w:tcPr>
          <w:p w:rsidR="0063457A" w:rsidRDefault="00833D98" w:rsidP="00330213">
            <w:pPr>
              <w:contextualSpacing/>
              <w:jc w:val="center"/>
            </w:pPr>
            <w:r>
              <w:t>(5</w:t>
            </w:r>
            <w:r w:rsidR="001A7043">
              <w:t>)</w:t>
            </w:r>
          </w:p>
        </w:tc>
      </w:tr>
      <w:tr w:rsidR="0063457A" w:rsidTr="00330213">
        <w:tc>
          <w:tcPr>
            <w:tcW w:w="704" w:type="dxa"/>
            <w:vMerge/>
          </w:tcPr>
          <w:p w:rsidR="0063457A" w:rsidRDefault="0063457A" w:rsidP="00330213">
            <w:pPr>
              <w:contextualSpacing/>
            </w:pPr>
          </w:p>
        </w:tc>
        <w:tc>
          <w:tcPr>
            <w:tcW w:w="8358" w:type="dxa"/>
            <w:vAlign w:val="center"/>
          </w:tcPr>
          <w:p w:rsidR="0063457A" w:rsidRDefault="0063457A" w:rsidP="00B12A9C">
            <w:pPr>
              <w:contextualSpacing/>
              <w:jc w:val="both"/>
            </w:pPr>
            <w:r w:rsidRPr="0063457A">
              <w:rPr>
                <w:color w:val="FF0000"/>
              </w:rPr>
              <w:t>Advise the client that a written agreement is enforceable, despite the fact that it was unsigned due the oversight by the project manager. The rights and obligations of the parties remain in force.</w:t>
            </w:r>
          </w:p>
        </w:tc>
        <w:tc>
          <w:tcPr>
            <w:tcW w:w="573" w:type="dxa"/>
            <w:vMerge/>
          </w:tcPr>
          <w:p w:rsidR="0063457A" w:rsidRDefault="0063457A" w:rsidP="00330213">
            <w:pPr>
              <w:contextualSpacing/>
              <w:jc w:val="center"/>
            </w:pPr>
          </w:p>
        </w:tc>
      </w:tr>
      <w:tr w:rsidR="0063457A" w:rsidTr="00B262B6">
        <w:tc>
          <w:tcPr>
            <w:tcW w:w="9635" w:type="dxa"/>
            <w:gridSpan w:val="3"/>
          </w:tcPr>
          <w:p w:rsidR="0063457A" w:rsidRDefault="0063457A" w:rsidP="00330213">
            <w:pPr>
              <w:contextualSpacing/>
              <w:jc w:val="center"/>
            </w:pPr>
          </w:p>
        </w:tc>
      </w:tr>
      <w:tr w:rsidR="00523A6C" w:rsidTr="00330213">
        <w:tc>
          <w:tcPr>
            <w:tcW w:w="704" w:type="dxa"/>
            <w:vMerge w:val="restart"/>
          </w:tcPr>
          <w:p w:rsidR="00523A6C" w:rsidRDefault="00523A6C" w:rsidP="00523A6C">
            <w:pPr>
              <w:contextualSpacing/>
            </w:pPr>
            <w:r>
              <w:t>4.3</w:t>
            </w:r>
          </w:p>
        </w:tc>
        <w:tc>
          <w:tcPr>
            <w:tcW w:w="8358" w:type="dxa"/>
            <w:vAlign w:val="center"/>
          </w:tcPr>
          <w:p w:rsidR="00523A6C" w:rsidRPr="0063457A" w:rsidRDefault="00523A6C" w:rsidP="00523A6C">
            <w:pPr>
              <w:contextualSpacing/>
              <w:jc w:val="both"/>
            </w:pPr>
            <w:r>
              <w:t>You are the principal agent on for a new office development. A nominated subcontractor has been appointed for the elevator installation. The main contractor has submitted a claim for the revision of the date for practical completion, as the delivery of certain components required for the elevator have been delayed due to the closure of Hong Kong airport. What would be your assessment of the contractor’s claim and why?</w:t>
            </w:r>
          </w:p>
        </w:tc>
        <w:tc>
          <w:tcPr>
            <w:tcW w:w="573" w:type="dxa"/>
            <w:vMerge w:val="restart"/>
          </w:tcPr>
          <w:p w:rsidR="00523A6C" w:rsidRDefault="00833D98" w:rsidP="00523A6C">
            <w:pPr>
              <w:contextualSpacing/>
              <w:jc w:val="center"/>
            </w:pPr>
            <w:r>
              <w:t>(5</w:t>
            </w:r>
            <w:r w:rsidR="00523A6C">
              <w:t>)</w:t>
            </w:r>
          </w:p>
        </w:tc>
      </w:tr>
      <w:tr w:rsidR="00523A6C" w:rsidTr="00330213">
        <w:tc>
          <w:tcPr>
            <w:tcW w:w="704" w:type="dxa"/>
            <w:vMerge/>
          </w:tcPr>
          <w:p w:rsidR="00523A6C" w:rsidRDefault="00523A6C" w:rsidP="00523A6C">
            <w:pPr>
              <w:contextualSpacing/>
            </w:pPr>
          </w:p>
        </w:tc>
        <w:tc>
          <w:tcPr>
            <w:tcW w:w="8358" w:type="dxa"/>
            <w:vAlign w:val="center"/>
          </w:tcPr>
          <w:p w:rsidR="00523A6C" w:rsidRPr="001A7043" w:rsidRDefault="00523A6C" w:rsidP="00523A6C">
            <w:pPr>
              <w:contextualSpacing/>
              <w:jc w:val="both"/>
            </w:pPr>
            <w:r w:rsidRPr="001A7043">
              <w:rPr>
                <w:color w:val="FF0000"/>
              </w:rPr>
              <w:t xml:space="preserve">The main contractor will be entitled to a revision of the date for practical completion </w:t>
            </w:r>
            <w:r w:rsidRPr="001A7043">
              <w:rPr>
                <w:i/>
                <w:color w:val="FF0000"/>
              </w:rPr>
              <w:t>WITHOUT</w:t>
            </w:r>
            <w:r w:rsidRPr="001A7043">
              <w:rPr>
                <w:color w:val="FF0000"/>
              </w:rPr>
              <w:t xml:space="preserve"> and adjustment to the contract value</w:t>
            </w:r>
            <w:r>
              <w:rPr>
                <w:color w:val="FF0000"/>
              </w:rPr>
              <w:t>. The cause of the delay was the inability to obtain materials and goods and was beyond the control of both the main contract and the subcontractor.</w:t>
            </w:r>
          </w:p>
        </w:tc>
        <w:tc>
          <w:tcPr>
            <w:tcW w:w="573" w:type="dxa"/>
            <w:vMerge/>
          </w:tcPr>
          <w:p w:rsidR="00523A6C" w:rsidRDefault="00523A6C" w:rsidP="00523A6C">
            <w:pPr>
              <w:contextualSpacing/>
              <w:jc w:val="center"/>
            </w:pPr>
          </w:p>
        </w:tc>
      </w:tr>
    </w:tbl>
    <w:p w:rsidR="005F5CC0" w:rsidRDefault="005F5CC0" w:rsidP="00415E9F">
      <w:pPr>
        <w:spacing w:after="0" w:line="240" w:lineRule="auto"/>
        <w:contextualSpacing/>
        <w:jc w:val="both"/>
      </w:pPr>
    </w:p>
    <w:p w:rsidR="009016C6" w:rsidRDefault="009016C6" w:rsidP="00415E9F">
      <w:pPr>
        <w:spacing w:after="0" w:line="240" w:lineRule="auto"/>
        <w:contextualSpacing/>
        <w:jc w:val="both"/>
      </w:pPr>
    </w:p>
    <w:p w:rsidR="000E601D" w:rsidRDefault="000E601D" w:rsidP="00415E9F">
      <w:pPr>
        <w:spacing w:after="0" w:line="240" w:lineRule="auto"/>
        <w:contextualSpacing/>
        <w:jc w:val="both"/>
      </w:pPr>
    </w:p>
    <w:p w:rsidR="00940DD5" w:rsidRDefault="00940DD5" w:rsidP="00415E9F">
      <w:pPr>
        <w:spacing w:after="0" w:line="240" w:lineRule="auto"/>
        <w:contextualSpacing/>
        <w:jc w:val="both"/>
      </w:pPr>
    </w:p>
    <w:p w:rsidR="00833D98" w:rsidRDefault="00833D98" w:rsidP="00415E9F">
      <w:pPr>
        <w:spacing w:after="0" w:line="240" w:lineRule="auto"/>
        <w:contextualSpacing/>
        <w:jc w:val="both"/>
      </w:pPr>
    </w:p>
    <w:p w:rsidR="00B05010" w:rsidRPr="008F2399" w:rsidRDefault="000E601D" w:rsidP="00B05010">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5</w:t>
      </w:r>
      <w:r w:rsidR="008B4903">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B05010">
        <w:rPr>
          <w:rFonts w:ascii="Century Gothic" w:hAnsi="Century Gothic"/>
          <w:b/>
          <w:bCs/>
          <w:color w:val="7F7F7F" w:themeColor="text1" w:themeTint="80"/>
          <w:spacing w:val="40"/>
          <w:szCs w:val="25"/>
        </w:rPr>
        <w:tab/>
      </w:r>
      <w:r w:rsidR="00C67C2C">
        <w:rPr>
          <w:rFonts w:ascii="Century Gothic" w:hAnsi="Century Gothic"/>
          <w:bCs/>
          <w:i/>
          <w:color w:val="7F7F7F" w:themeColor="text1" w:themeTint="80"/>
          <w:spacing w:val="20"/>
          <w:szCs w:val="25"/>
        </w:rPr>
        <w:t>3</w:t>
      </w:r>
      <w:r w:rsidR="00097D3B">
        <w:rPr>
          <w:rFonts w:ascii="Century Gothic" w:hAnsi="Century Gothic"/>
          <w:bCs/>
          <w:i/>
          <w:color w:val="7F7F7F" w:themeColor="text1" w:themeTint="80"/>
          <w:spacing w:val="20"/>
          <w:szCs w:val="25"/>
        </w:rPr>
        <w:t>0</w:t>
      </w:r>
      <w:r w:rsidR="00B05010" w:rsidRPr="000E439C">
        <w:rPr>
          <w:rFonts w:ascii="Century Gothic" w:hAnsi="Century Gothic"/>
          <w:bCs/>
          <w:i/>
          <w:color w:val="7F7F7F" w:themeColor="text1" w:themeTint="80"/>
          <w:spacing w:val="20"/>
          <w:szCs w:val="25"/>
        </w:rPr>
        <w:t xml:space="preserve"> marks</w:t>
      </w:r>
    </w:p>
    <w:p w:rsidR="00B27528" w:rsidRDefault="00B27528"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8B4903" w:rsidTr="009016C6">
        <w:tc>
          <w:tcPr>
            <w:tcW w:w="9635" w:type="dxa"/>
            <w:gridSpan w:val="3"/>
          </w:tcPr>
          <w:p w:rsidR="008B4903" w:rsidRDefault="008B4903" w:rsidP="008B4903">
            <w:pPr>
              <w:contextualSpacing/>
              <w:jc w:val="both"/>
            </w:pPr>
            <w:r>
              <w:t xml:space="preserve">You have been appointed as principal agent on an addition and alteration residential project. This entails the addition of two new bedrooms and one new bathroom to an existing residence. Furthermore, an existing bathroom is to be completely renovated following the completion of the new bathroom to allow the family to occupy the building during the execution of the works. </w:t>
            </w:r>
            <w:r w:rsidR="002A0FAD">
              <w:t xml:space="preserve">The </w:t>
            </w:r>
            <w:proofErr w:type="spellStart"/>
            <w:r w:rsidR="002A0FAD">
              <w:t>JBCC</w:t>
            </w:r>
            <w:proofErr w:type="spellEnd"/>
            <w:r w:rsidR="002A0FAD">
              <w:t xml:space="preserve"> Principal Building Agreement has been used for the project.</w:t>
            </w:r>
          </w:p>
        </w:tc>
      </w:tr>
      <w:tr w:rsidR="008B4903" w:rsidTr="009016C6">
        <w:tc>
          <w:tcPr>
            <w:tcW w:w="9635" w:type="dxa"/>
            <w:gridSpan w:val="3"/>
          </w:tcPr>
          <w:p w:rsidR="008B4903" w:rsidRDefault="008B4903" w:rsidP="008B4903">
            <w:pPr>
              <w:contextualSpacing/>
              <w:jc w:val="both"/>
            </w:pPr>
          </w:p>
        </w:tc>
      </w:tr>
      <w:tr w:rsidR="008B4903" w:rsidTr="009016C6">
        <w:tc>
          <w:tcPr>
            <w:tcW w:w="9635" w:type="dxa"/>
            <w:gridSpan w:val="3"/>
          </w:tcPr>
          <w:p w:rsidR="008B4903" w:rsidRDefault="002C49EC" w:rsidP="00B63823">
            <w:pPr>
              <w:contextualSpacing/>
              <w:jc w:val="both"/>
            </w:pPr>
            <w:r>
              <w:t>T</w:t>
            </w:r>
            <w:r w:rsidR="008B4903">
              <w:t xml:space="preserve">he building contract has not run smoothly, with the employer growing ever more impatient with the manner in which the contractor has carried out the works. The employer </w:t>
            </w:r>
            <w:r>
              <w:t xml:space="preserve">has elected to levy penalties and also </w:t>
            </w:r>
            <w:r w:rsidR="008B4903">
              <w:t>insists on occupyi</w:t>
            </w:r>
            <w:r>
              <w:t>ng the new portion of the house</w:t>
            </w:r>
            <w:r w:rsidR="008B4903">
              <w:t>, despite the fact that the contractor has not reached practical completion on the agreed date. The contractor has threatened to terminate the contract should this occur, without completing the project.</w:t>
            </w:r>
          </w:p>
        </w:tc>
      </w:tr>
      <w:tr w:rsidR="008B4903" w:rsidTr="009016C6">
        <w:tc>
          <w:tcPr>
            <w:tcW w:w="9635" w:type="dxa"/>
            <w:gridSpan w:val="3"/>
          </w:tcPr>
          <w:p w:rsidR="008B4903" w:rsidRDefault="008B4903" w:rsidP="00EE0981">
            <w:pPr>
              <w:contextualSpacing/>
              <w:jc w:val="center"/>
            </w:pPr>
          </w:p>
        </w:tc>
      </w:tr>
      <w:tr w:rsidR="009016C6" w:rsidTr="009016C6">
        <w:tc>
          <w:tcPr>
            <w:tcW w:w="704" w:type="dxa"/>
            <w:vMerge w:val="restart"/>
          </w:tcPr>
          <w:p w:rsidR="009016C6" w:rsidRDefault="000E601D" w:rsidP="00CB677B">
            <w:pPr>
              <w:contextualSpacing/>
            </w:pPr>
            <w:r>
              <w:t>5</w:t>
            </w:r>
            <w:r w:rsidR="009016C6">
              <w:t>.1</w:t>
            </w:r>
          </w:p>
        </w:tc>
        <w:tc>
          <w:tcPr>
            <w:tcW w:w="8358" w:type="dxa"/>
            <w:vAlign w:val="center"/>
          </w:tcPr>
          <w:p w:rsidR="009016C6" w:rsidRDefault="009016C6" w:rsidP="00C45176">
            <w:pPr>
              <w:contextualSpacing/>
              <w:jc w:val="both"/>
            </w:pPr>
            <w:r>
              <w:t>Under normal circumstances, what are five of the consequences of the achievement of practical completion?</w:t>
            </w:r>
          </w:p>
        </w:tc>
        <w:tc>
          <w:tcPr>
            <w:tcW w:w="573" w:type="dxa"/>
            <w:vMerge w:val="restart"/>
          </w:tcPr>
          <w:p w:rsidR="009016C6" w:rsidRDefault="009016C6" w:rsidP="00EE0981">
            <w:pPr>
              <w:contextualSpacing/>
              <w:jc w:val="center"/>
            </w:pPr>
            <w:r>
              <w:t>(10)</w:t>
            </w:r>
          </w:p>
        </w:tc>
      </w:tr>
      <w:tr w:rsidR="009016C6" w:rsidTr="009016C6">
        <w:tc>
          <w:tcPr>
            <w:tcW w:w="704" w:type="dxa"/>
            <w:vMerge/>
          </w:tcPr>
          <w:p w:rsidR="009016C6" w:rsidRDefault="009016C6" w:rsidP="00CB677B">
            <w:pPr>
              <w:contextualSpacing/>
            </w:pPr>
          </w:p>
        </w:tc>
        <w:tc>
          <w:tcPr>
            <w:tcW w:w="8358" w:type="dxa"/>
            <w:vAlign w:val="center"/>
          </w:tcPr>
          <w:p w:rsidR="009016C6" w:rsidRPr="007B3D47" w:rsidRDefault="009016C6" w:rsidP="009016C6">
            <w:pPr>
              <w:contextualSpacing/>
              <w:rPr>
                <w:i/>
                <w:color w:val="FF0000"/>
              </w:rPr>
            </w:pPr>
            <w:r w:rsidRPr="007B3D47">
              <w:rPr>
                <w:i/>
                <w:color w:val="FF0000"/>
              </w:rPr>
              <w:t xml:space="preserve">Any of the following </w:t>
            </w:r>
            <w:r>
              <w:rPr>
                <w:i/>
                <w:color w:val="FF0000"/>
              </w:rPr>
              <w:t xml:space="preserve">or in a similar vein </w:t>
            </w:r>
            <w:r w:rsidRPr="007B3D47">
              <w:rPr>
                <w:i/>
                <w:color w:val="FF0000"/>
              </w:rPr>
              <w:t>(</w:t>
            </w:r>
            <w:r>
              <w:rPr>
                <w:i/>
                <w:color w:val="FF0000"/>
              </w:rPr>
              <w:t>2</w:t>
            </w:r>
            <w:r w:rsidRPr="007B3D47">
              <w:rPr>
                <w:i/>
                <w:color w:val="FF0000"/>
              </w:rPr>
              <w:t xml:space="preserve"> mark</w:t>
            </w:r>
            <w:r>
              <w:rPr>
                <w:i/>
                <w:color w:val="FF0000"/>
              </w:rPr>
              <w:t>s</w:t>
            </w:r>
            <w:r w:rsidRPr="007B3D47">
              <w:rPr>
                <w:i/>
                <w:color w:val="FF0000"/>
              </w:rPr>
              <w:t xml:space="preserve"> each – total </w:t>
            </w:r>
            <w:r>
              <w:rPr>
                <w:i/>
                <w:color w:val="FF0000"/>
              </w:rPr>
              <w:t>of 10</w:t>
            </w:r>
            <w:r w:rsidRPr="007B3D47">
              <w:rPr>
                <w:i/>
                <w:color w:val="FF0000"/>
              </w:rPr>
              <w:t xml:space="preserve"> marks)</w:t>
            </w:r>
          </w:p>
          <w:p w:rsidR="009016C6" w:rsidRPr="00880750" w:rsidRDefault="009016C6" w:rsidP="009016C6">
            <w:pPr>
              <w:pStyle w:val="ListParagraph"/>
              <w:numPr>
                <w:ilvl w:val="0"/>
                <w:numId w:val="31"/>
              </w:numPr>
              <w:ind w:left="312" w:hanging="283"/>
              <w:rPr>
                <w:color w:val="FF0000"/>
              </w:rPr>
            </w:pPr>
            <w:r w:rsidRPr="00880750">
              <w:rPr>
                <w:color w:val="FF0000"/>
              </w:rPr>
              <w:t>The employer takes possession of the building (and the contractor relinquishes possession/lien of the site to the employer)</w:t>
            </w:r>
          </w:p>
          <w:p w:rsidR="009016C6" w:rsidRPr="00880750" w:rsidRDefault="009016C6" w:rsidP="009016C6">
            <w:pPr>
              <w:pStyle w:val="ListParagraph"/>
              <w:numPr>
                <w:ilvl w:val="0"/>
                <w:numId w:val="31"/>
              </w:numPr>
              <w:ind w:left="312" w:hanging="283"/>
              <w:rPr>
                <w:color w:val="FF0000"/>
              </w:rPr>
            </w:pPr>
            <w:r w:rsidRPr="00880750">
              <w:rPr>
                <w:color w:val="FF0000"/>
              </w:rPr>
              <w:t xml:space="preserve">The contractor hands over all information for the </w:t>
            </w:r>
            <w:r>
              <w:rPr>
                <w:color w:val="FF0000"/>
              </w:rPr>
              <w:t>preparation of project record ('</w:t>
            </w:r>
            <w:r w:rsidRPr="00880750">
              <w:rPr>
                <w:color w:val="FF0000"/>
              </w:rPr>
              <w:t>as bui</w:t>
            </w:r>
            <w:r>
              <w:rPr>
                <w:color w:val="FF0000"/>
              </w:rPr>
              <w:t>lt'</w:t>
            </w:r>
            <w:r w:rsidRPr="00880750">
              <w:rPr>
                <w:color w:val="FF0000"/>
              </w:rPr>
              <w:t xml:space="preserve">) documentation as well as all applicable regulatory and statutory approval certificates. </w:t>
            </w:r>
          </w:p>
          <w:p w:rsidR="009016C6" w:rsidRPr="00880750" w:rsidRDefault="009016C6" w:rsidP="009016C6">
            <w:pPr>
              <w:pStyle w:val="ListParagraph"/>
              <w:numPr>
                <w:ilvl w:val="0"/>
                <w:numId w:val="31"/>
              </w:numPr>
              <w:ind w:left="312" w:hanging="283"/>
              <w:rPr>
                <w:color w:val="FF0000"/>
              </w:rPr>
            </w:pPr>
            <w:r w:rsidRPr="00880750">
              <w:rPr>
                <w:color w:val="FF0000"/>
              </w:rPr>
              <w:t>These documents are required in order that an occupation certificate be issued by the local authority (it is the employer’s responsibility to procure this – agents to assist)</w:t>
            </w:r>
          </w:p>
          <w:p w:rsidR="009016C6" w:rsidRPr="00880750" w:rsidRDefault="009016C6" w:rsidP="009016C6">
            <w:pPr>
              <w:pStyle w:val="ListParagraph"/>
              <w:numPr>
                <w:ilvl w:val="0"/>
                <w:numId w:val="31"/>
              </w:numPr>
              <w:ind w:left="312" w:hanging="283"/>
              <w:rPr>
                <w:color w:val="FF0000"/>
              </w:rPr>
            </w:pPr>
            <w:r w:rsidRPr="00880750">
              <w:rPr>
                <w:color w:val="FF0000"/>
              </w:rPr>
              <w:t>The contractor hands over all operating and instruction manuals, product guarantees, etc.</w:t>
            </w:r>
          </w:p>
          <w:p w:rsidR="009016C6" w:rsidRPr="00880750" w:rsidRDefault="009016C6" w:rsidP="009016C6">
            <w:pPr>
              <w:pStyle w:val="ListParagraph"/>
              <w:numPr>
                <w:ilvl w:val="0"/>
                <w:numId w:val="31"/>
              </w:numPr>
              <w:ind w:left="312" w:hanging="283"/>
              <w:rPr>
                <w:color w:val="FF0000"/>
              </w:rPr>
            </w:pPr>
            <w:r w:rsidRPr="00880750">
              <w:rPr>
                <w:color w:val="FF0000"/>
              </w:rPr>
              <w:t>No new contract instructions may be issued (except to rectify defects)</w:t>
            </w:r>
          </w:p>
          <w:p w:rsidR="009016C6" w:rsidRPr="00880750" w:rsidRDefault="009016C6" w:rsidP="009016C6">
            <w:pPr>
              <w:pStyle w:val="ListParagraph"/>
              <w:numPr>
                <w:ilvl w:val="0"/>
                <w:numId w:val="31"/>
              </w:numPr>
              <w:ind w:left="312" w:hanging="283"/>
              <w:rPr>
                <w:color w:val="FF0000"/>
              </w:rPr>
            </w:pPr>
            <w:r w:rsidRPr="00880750">
              <w:rPr>
                <w:color w:val="FF0000"/>
              </w:rPr>
              <w:t xml:space="preserve">The contractor can no longer be penalised for late completion </w:t>
            </w:r>
          </w:p>
          <w:p w:rsidR="009016C6" w:rsidRPr="009016C6" w:rsidRDefault="009016C6" w:rsidP="009016C6">
            <w:pPr>
              <w:pStyle w:val="ListParagraph"/>
              <w:numPr>
                <w:ilvl w:val="0"/>
                <w:numId w:val="31"/>
              </w:numPr>
              <w:ind w:left="312" w:hanging="283"/>
            </w:pPr>
            <w:r w:rsidRPr="00880750">
              <w:rPr>
                <w:color w:val="FF0000"/>
              </w:rPr>
              <w:t>The employer must arrange for insurance of the building</w:t>
            </w:r>
          </w:p>
          <w:p w:rsidR="009016C6" w:rsidRDefault="009016C6" w:rsidP="009016C6">
            <w:pPr>
              <w:pStyle w:val="ListParagraph"/>
              <w:numPr>
                <w:ilvl w:val="0"/>
                <w:numId w:val="31"/>
              </w:numPr>
              <w:ind w:left="312" w:hanging="283"/>
            </w:pPr>
            <w:r w:rsidRPr="00880750">
              <w:rPr>
                <w:color w:val="FF0000"/>
              </w:rPr>
              <w:t>Public liability insurance remains in effect until final completion</w:t>
            </w:r>
          </w:p>
        </w:tc>
        <w:tc>
          <w:tcPr>
            <w:tcW w:w="573" w:type="dxa"/>
            <w:vMerge/>
          </w:tcPr>
          <w:p w:rsidR="009016C6" w:rsidRDefault="009016C6" w:rsidP="00EE0981">
            <w:pPr>
              <w:contextualSpacing/>
              <w:jc w:val="center"/>
            </w:pPr>
          </w:p>
        </w:tc>
      </w:tr>
      <w:tr w:rsidR="00A03FD2" w:rsidTr="009016C6">
        <w:tc>
          <w:tcPr>
            <w:tcW w:w="9635" w:type="dxa"/>
            <w:gridSpan w:val="3"/>
          </w:tcPr>
          <w:p w:rsidR="00A03FD2" w:rsidRDefault="00A03FD2" w:rsidP="00880750">
            <w:pPr>
              <w:contextualSpacing/>
              <w:jc w:val="center"/>
            </w:pPr>
          </w:p>
        </w:tc>
      </w:tr>
      <w:tr w:rsidR="009016C6" w:rsidTr="009016C6">
        <w:tc>
          <w:tcPr>
            <w:tcW w:w="704" w:type="dxa"/>
            <w:vMerge w:val="restart"/>
          </w:tcPr>
          <w:p w:rsidR="009016C6" w:rsidRDefault="000E601D" w:rsidP="00880750">
            <w:pPr>
              <w:contextualSpacing/>
            </w:pPr>
            <w:r>
              <w:t>5</w:t>
            </w:r>
            <w:r w:rsidR="009016C6">
              <w:t>.2</w:t>
            </w:r>
          </w:p>
        </w:tc>
        <w:tc>
          <w:tcPr>
            <w:tcW w:w="8358" w:type="dxa"/>
            <w:vAlign w:val="center"/>
          </w:tcPr>
          <w:p w:rsidR="009016C6" w:rsidRPr="006E4F9A" w:rsidRDefault="009016C6" w:rsidP="006F1EBE">
            <w:pPr>
              <w:contextualSpacing/>
              <w:jc w:val="both"/>
            </w:pPr>
            <w:r>
              <w:t>What would occur should the employer should occupy the building prior to practical completion?</w:t>
            </w:r>
          </w:p>
        </w:tc>
        <w:tc>
          <w:tcPr>
            <w:tcW w:w="573" w:type="dxa"/>
            <w:vMerge w:val="restart"/>
          </w:tcPr>
          <w:p w:rsidR="009016C6" w:rsidRDefault="009016C6" w:rsidP="00880750">
            <w:pPr>
              <w:contextualSpacing/>
              <w:jc w:val="center"/>
            </w:pPr>
            <w:r>
              <w:t>(4)</w:t>
            </w:r>
          </w:p>
        </w:tc>
      </w:tr>
      <w:tr w:rsidR="009016C6" w:rsidTr="009016C6">
        <w:tc>
          <w:tcPr>
            <w:tcW w:w="704" w:type="dxa"/>
            <w:vMerge/>
          </w:tcPr>
          <w:p w:rsidR="009016C6" w:rsidRDefault="009016C6" w:rsidP="00880750">
            <w:pPr>
              <w:contextualSpacing/>
            </w:pPr>
          </w:p>
        </w:tc>
        <w:tc>
          <w:tcPr>
            <w:tcW w:w="8358" w:type="dxa"/>
            <w:vAlign w:val="center"/>
          </w:tcPr>
          <w:p w:rsidR="009016C6" w:rsidRDefault="009016C6" w:rsidP="006F1EBE">
            <w:pPr>
              <w:contextualSpacing/>
              <w:jc w:val="both"/>
            </w:pPr>
            <w:r w:rsidRPr="00F04B82">
              <w:rPr>
                <w:color w:val="FF0000"/>
              </w:rPr>
              <w:t xml:space="preserve">If the employer takes possession of the works prior to practical completion, practical completion would be deemed to have occurred </w:t>
            </w:r>
            <w:r>
              <w:rPr>
                <w:color w:val="FF0000"/>
                <w:vertAlign w:val="superscript"/>
              </w:rPr>
              <w:t>(2</w:t>
            </w:r>
            <w:r w:rsidRPr="009F728C">
              <w:rPr>
                <w:color w:val="FF0000"/>
                <w:vertAlign w:val="superscript"/>
              </w:rPr>
              <w:t>)</w:t>
            </w:r>
            <w:r>
              <w:rPr>
                <w:color w:val="FF0000"/>
              </w:rPr>
              <w:t xml:space="preserve"> </w:t>
            </w:r>
            <w:r w:rsidRPr="00F04B82">
              <w:rPr>
                <w:color w:val="FF0000"/>
              </w:rPr>
              <w:t>and the contractor would not be required to remedy defects</w:t>
            </w:r>
            <w:r>
              <w:rPr>
                <w:color w:val="FF0000"/>
              </w:rPr>
              <w:t xml:space="preserve"> </w:t>
            </w:r>
            <w:r>
              <w:rPr>
                <w:color w:val="FF0000"/>
                <w:vertAlign w:val="superscript"/>
              </w:rPr>
              <w:t>(2</w:t>
            </w:r>
            <w:r w:rsidRPr="009F728C">
              <w:rPr>
                <w:color w:val="FF0000"/>
                <w:vertAlign w:val="superscript"/>
              </w:rPr>
              <w:t>)</w:t>
            </w:r>
            <w:r w:rsidRPr="00F04B82">
              <w:rPr>
                <w:color w:val="FF0000"/>
              </w:rPr>
              <w:t>.</w:t>
            </w:r>
          </w:p>
        </w:tc>
        <w:tc>
          <w:tcPr>
            <w:tcW w:w="573" w:type="dxa"/>
            <w:vMerge/>
          </w:tcPr>
          <w:p w:rsidR="009016C6" w:rsidRDefault="009016C6" w:rsidP="00880750">
            <w:pPr>
              <w:contextualSpacing/>
              <w:jc w:val="center"/>
            </w:pPr>
          </w:p>
        </w:tc>
      </w:tr>
      <w:tr w:rsidR="00A03FD2" w:rsidTr="009016C6">
        <w:tc>
          <w:tcPr>
            <w:tcW w:w="9635" w:type="dxa"/>
            <w:gridSpan w:val="3"/>
          </w:tcPr>
          <w:p w:rsidR="00A03FD2" w:rsidRDefault="00A03FD2" w:rsidP="00880750">
            <w:pPr>
              <w:contextualSpacing/>
              <w:jc w:val="center"/>
            </w:pPr>
          </w:p>
        </w:tc>
      </w:tr>
      <w:tr w:rsidR="009016C6" w:rsidTr="009016C6">
        <w:tc>
          <w:tcPr>
            <w:tcW w:w="704" w:type="dxa"/>
            <w:vMerge w:val="restart"/>
          </w:tcPr>
          <w:p w:rsidR="009016C6" w:rsidRDefault="000E601D" w:rsidP="00880750">
            <w:pPr>
              <w:contextualSpacing/>
            </w:pPr>
            <w:r>
              <w:t>5</w:t>
            </w:r>
            <w:r w:rsidR="009016C6">
              <w:t>.3</w:t>
            </w:r>
          </w:p>
        </w:tc>
        <w:tc>
          <w:tcPr>
            <w:tcW w:w="8358" w:type="dxa"/>
            <w:vAlign w:val="center"/>
          </w:tcPr>
          <w:p w:rsidR="009016C6" w:rsidRDefault="009016C6" w:rsidP="002C49EC">
            <w:pPr>
              <w:contextualSpacing/>
              <w:jc w:val="both"/>
            </w:pPr>
            <w:r>
              <w:t>What is the reason for penalties due to late completion of the works?</w:t>
            </w:r>
          </w:p>
        </w:tc>
        <w:tc>
          <w:tcPr>
            <w:tcW w:w="573" w:type="dxa"/>
            <w:vMerge w:val="restart"/>
          </w:tcPr>
          <w:p w:rsidR="009016C6" w:rsidRDefault="009016C6" w:rsidP="00880750">
            <w:pPr>
              <w:contextualSpacing/>
              <w:jc w:val="center"/>
            </w:pPr>
            <w:r>
              <w:t>(2)</w:t>
            </w:r>
          </w:p>
        </w:tc>
      </w:tr>
      <w:tr w:rsidR="009016C6" w:rsidTr="009016C6">
        <w:tc>
          <w:tcPr>
            <w:tcW w:w="704" w:type="dxa"/>
            <w:vMerge/>
          </w:tcPr>
          <w:p w:rsidR="009016C6" w:rsidRDefault="009016C6" w:rsidP="00880750">
            <w:pPr>
              <w:contextualSpacing/>
            </w:pPr>
          </w:p>
        </w:tc>
        <w:tc>
          <w:tcPr>
            <w:tcW w:w="8358" w:type="dxa"/>
            <w:vAlign w:val="center"/>
          </w:tcPr>
          <w:p w:rsidR="009016C6" w:rsidRDefault="009016C6" w:rsidP="002C49EC">
            <w:pPr>
              <w:contextualSpacing/>
              <w:jc w:val="both"/>
            </w:pPr>
            <w:r w:rsidRPr="00B42B44">
              <w:rPr>
                <w:color w:val="FF0000"/>
              </w:rPr>
              <w:t>The employer is unable to reap the benefits of occupation</w:t>
            </w:r>
          </w:p>
        </w:tc>
        <w:tc>
          <w:tcPr>
            <w:tcW w:w="573" w:type="dxa"/>
            <w:vMerge/>
          </w:tcPr>
          <w:p w:rsidR="009016C6" w:rsidRDefault="009016C6" w:rsidP="00880750">
            <w:pPr>
              <w:contextualSpacing/>
              <w:jc w:val="center"/>
            </w:pPr>
          </w:p>
        </w:tc>
      </w:tr>
      <w:tr w:rsidR="00A03FD2" w:rsidTr="009016C6">
        <w:tc>
          <w:tcPr>
            <w:tcW w:w="9635" w:type="dxa"/>
            <w:gridSpan w:val="3"/>
          </w:tcPr>
          <w:p w:rsidR="00A03FD2" w:rsidRDefault="00A03FD2" w:rsidP="00880750">
            <w:pPr>
              <w:contextualSpacing/>
              <w:jc w:val="center"/>
            </w:pPr>
          </w:p>
        </w:tc>
      </w:tr>
      <w:tr w:rsidR="009016C6" w:rsidTr="009016C6">
        <w:tc>
          <w:tcPr>
            <w:tcW w:w="704" w:type="dxa"/>
            <w:vMerge w:val="restart"/>
          </w:tcPr>
          <w:p w:rsidR="009016C6" w:rsidRDefault="000E601D" w:rsidP="00880750">
            <w:pPr>
              <w:contextualSpacing/>
            </w:pPr>
            <w:r>
              <w:t>5</w:t>
            </w:r>
            <w:r w:rsidR="009016C6">
              <w:t>.4</w:t>
            </w:r>
          </w:p>
        </w:tc>
        <w:tc>
          <w:tcPr>
            <w:tcW w:w="8358" w:type="dxa"/>
            <w:vAlign w:val="center"/>
          </w:tcPr>
          <w:p w:rsidR="009016C6" w:rsidRDefault="009016C6" w:rsidP="00880750">
            <w:pPr>
              <w:contextualSpacing/>
              <w:jc w:val="both"/>
            </w:pPr>
            <w:r>
              <w:t>As principal agent, how would you determine the penalty amount?</w:t>
            </w:r>
          </w:p>
        </w:tc>
        <w:tc>
          <w:tcPr>
            <w:tcW w:w="573" w:type="dxa"/>
            <w:vMerge w:val="restart"/>
          </w:tcPr>
          <w:p w:rsidR="009016C6" w:rsidRDefault="009016C6" w:rsidP="00880750">
            <w:pPr>
              <w:contextualSpacing/>
              <w:jc w:val="center"/>
            </w:pPr>
            <w:r>
              <w:t>(4)</w:t>
            </w:r>
          </w:p>
        </w:tc>
      </w:tr>
      <w:tr w:rsidR="009016C6" w:rsidTr="009016C6">
        <w:tc>
          <w:tcPr>
            <w:tcW w:w="704" w:type="dxa"/>
            <w:vMerge/>
          </w:tcPr>
          <w:p w:rsidR="009016C6" w:rsidRDefault="009016C6" w:rsidP="00880750">
            <w:pPr>
              <w:contextualSpacing/>
            </w:pPr>
          </w:p>
        </w:tc>
        <w:tc>
          <w:tcPr>
            <w:tcW w:w="8358" w:type="dxa"/>
            <w:vAlign w:val="center"/>
          </w:tcPr>
          <w:p w:rsidR="009016C6" w:rsidRDefault="009016C6" w:rsidP="00880750">
            <w:pPr>
              <w:contextualSpacing/>
              <w:jc w:val="both"/>
            </w:pPr>
            <w:r w:rsidRPr="00B42B44">
              <w:rPr>
                <w:color w:val="FF0000"/>
              </w:rPr>
              <w:t>Once practical completion</w:t>
            </w:r>
            <w:r w:rsidR="00B12A9C">
              <w:rPr>
                <w:color w:val="FF0000"/>
              </w:rPr>
              <w:t xml:space="preserve"> has been certified</w:t>
            </w:r>
            <w:r w:rsidRPr="00B42B44">
              <w:rPr>
                <w:color w:val="FF0000"/>
              </w:rPr>
              <w:t xml:space="preserve">, the calendar days between the contractual and actual dates of practical completion </w:t>
            </w:r>
            <w:r>
              <w:rPr>
                <w:color w:val="FF0000"/>
                <w:vertAlign w:val="superscript"/>
              </w:rPr>
              <w:t>(2)</w:t>
            </w:r>
            <w:r>
              <w:rPr>
                <w:color w:val="FF0000"/>
              </w:rPr>
              <w:t xml:space="preserve"> </w:t>
            </w:r>
            <w:r w:rsidRPr="00B42B44">
              <w:rPr>
                <w:color w:val="FF0000"/>
              </w:rPr>
              <w:t xml:space="preserve">is multiplied by the amount recorded in the </w:t>
            </w:r>
            <w:proofErr w:type="spellStart"/>
            <w:r w:rsidRPr="00B42B44">
              <w:rPr>
                <w:color w:val="FF0000"/>
              </w:rPr>
              <w:t>JBCC</w:t>
            </w:r>
            <w:proofErr w:type="spellEnd"/>
            <w:r w:rsidRPr="00B42B44">
              <w:rPr>
                <w:color w:val="FF0000"/>
              </w:rPr>
              <w:t xml:space="preserve"> Contract Data</w:t>
            </w:r>
            <w:r>
              <w:rPr>
                <w:color w:val="FF0000"/>
              </w:rPr>
              <w:t xml:space="preserve"> </w:t>
            </w:r>
            <w:r>
              <w:rPr>
                <w:color w:val="FF0000"/>
                <w:vertAlign w:val="superscript"/>
              </w:rPr>
              <w:t>(2)</w:t>
            </w:r>
            <w:r>
              <w:rPr>
                <w:color w:val="FF0000"/>
              </w:rPr>
              <w:t>.</w:t>
            </w:r>
          </w:p>
        </w:tc>
        <w:tc>
          <w:tcPr>
            <w:tcW w:w="573" w:type="dxa"/>
            <w:vMerge/>
          </w:tcPr>
          <w:p w:rsidR="009016C6" w:rsidRDefault="009016C6" w:rsidP="00880750">
            <w:pPr>
              <w:contextualSpacing/>
              <w:jc w:val="center"/>
            </w:pPr>
          </w:p>
        </w:tc>
      </w:tr>
      <w:tr w:rsidR="00A03FD2" w:rsidTr="009016C6">
        <w:tc>
          <w:tcPr>
            <w:tcW w:w="9635" w:type="dxa"/>
            <w:gridSpan w:val="3"/>
          </w:tcPr>
          <w:p w:rsidR="00A03FD2" w:rsidRDefault="00A03FD2" w:rsidP="00880750">
            <w:pPr>
              <w:contextualSpacing/>
              <w:jc w:val="center"/>
            </w:pPr>
          </w:p>
        </w:tc>
      </w:tr>
      <w:tr w:rsidR="009016C6" w:rsidTr="009016C6">
        <w:tc>
          <w:tcPr>
            <w:tcW w:w="704" w:type="dxa"/>
            <w:vMerge w:val="restart"/>
          </w:tcPr>
          <w:p w:rsidR="009016C6" w:rsidRDefault="000E601D" w:rsidP="00880750">
            <w:pPr>
              <w:contextualSpacing/>
            </w:pPr>
            <w:r>
              <w:t>5</w:t>
            </w:r>
            <w:r w:rsidR="009016C6">
              <w:t>.5</w:t>
            </w:r>
          </w:p>
        </w:tc>
        <w:tc>
          <w:tcPr>
            <w:tcW w:w="8358" w:type="dxa"/>
            <w:vAlign w:val="center"/>
          </w:tcPr>
          <w:p w:rsidR="009016C6" w:rsidRPr="006E4F9A" w:rsidRDefault="009016C6" w:rsidP="00CB677B">
            <w:pPr>
              <w:contextualSpacing/>
              <w:jc w:val="both"/>
            </w:pPr>
            <w:r>
              <w:t>Should the contractor elect to terminate the agreement, a document must be prepared to record complete and incomplete work. What is the name of this document, who must compile it, and why is this important?</w:t>
            </w:r>
          </w:p>
        </w:tc>
        <w:tc>
          <w:tcPr>
            <w:tcW w:w="573" w:type="dxa"/>
            <w:vMerge w:val="restart"/>
          </w:tcPr>
          <w:p w:rsidR="009016C6" w:rsidRDefault="009016C6" w:rsidP="00880750">
            <w:pPr>
              <w:contextualSpacing/>
              <w:jc w:val="center"/>
            </w:pPr>
            <w:r>
              <w:t>(8)</w:t>
            </w:r>
          </w:p>
        </w:tc>
      </w:tr>
      <w:tr w:rsidR="009016C6" w:rsidTr="009016C6">
        <w:tc>
          <w:tcPr>
            <w:tcW w:w="704" w:type="dxa"/>
            <w:vMerge/>
          </w:tcPr>
          <w:p w:rsidR="009016C6" w:rsidRDefault="009016C6" w:rsidP="00880750">
            <w:pPr>
              <w:contextualSpacing/>
            </w:pPr>
          </w:p>
        </w:tc>
        <w:tc>
          <w:tcPr>
            <w:tcW w:w="8358" w:type="dxa"/>
            <w:vAlign w:val="center"/>
          </w:tcPr>
          <w:p w:rsidR="009016C6" w:rsidRPr="009F728C" w:rsidRDefault="009016C6" w:rsidP="009016C6">
            <w:pPr>
              <w:contextualSpacing/>
              <w:rPr>
                <w:color w:val="FF0000"/>
              </w:rPr>
            </w:pPr>
            <w:r w:rsidRPr="009F728C">
              <w:rPr>
                <w:color w:val="FF0000"/>
              </w:rPr>
              <w:t xml:space="preserve">The status report </w:t>
            </w:r>
            <w:r w:rsidRPr="009F728C">
              <w:rPr>
                <w:color w:val="FF0000"/>
                <w:vertAlign w:val="superscript"/>
              </w:rPr>
              <w:t>(2)</w:t>
            </w:r>
            <w:r w:rsidRPr="009F728C">
              <w:rPr>
                <w:color w:val="FF0000"/>
              </w:rPr>
              <w:t xml:space="preserve"> must be compiled by the principal agent </w:t>
            </w:r>
            <w:r w:rsidRPr="009F728C">
              <w:rPr>
                <w:color w:val="FF0000"/>
                <w:vertAlign w:val="superscript"/>
              </w:rPr>
              <w:t>(2)</w:t>
            </w:r>
            <w:r w:rsidRPr="009F728C">
              <w:rPr>
                <w:color w:val="FF0000"/>
              </w:rPr>
              <w:t xml:space="preserve">. </w:t>
            </w:r>
          </w:p>
          <w:p w:rsidR="009016C6" w:rsidRDefault="009016C6" w:rsidP="009016C6">
            <w:pPr>
              <w:contextualSpacing/>
              <w:jc w:val="both"/>
            </w:pPr>
            <w:r>
              <w:rPr>
                <w:color w:val="FF0000"/>
              </w:rPr>
              <w:t xml:space="preserve">This document is important as it </w:t>
            </w:r>
            <w:r w:rsidRPr="009F728C">
              <w:rPr>
                <w:color w:val="FF0000"/>
              </w:rPr>
              <w:t xml:space="preserve">will be relied upon to determine the value of the final account and may be relied on during the course of dispute resolution proceedings </w:t>
            </w:r>
            <w:r w:rsidRPr="009F728C">
              <w:rPr>
                <w:color w:val="FF0000"/>
                <w:vertAlign w:val="superscript"/>
              </w:rPr>
              <w:t>(4)</w:t>
            </w:r>
            <w:r w:rsidRPr="009F728C">
              <w:rPr>
                <w:color w:val="FF0000"/>
              </w:rPr>
              <w:t>.</w:t>
            </w:r>
          </w:p>
        </w:tc>
        <w:tc>
          <w:tcPr>
            <w:tcW w:w="573" w:type="dxa"/>
            <w:vMerge/>
          </w:tcPr>
          <w:p w:rsidR="009016C6" w:rsidRDefault="009016C6" w:rsidP="00880750">
            <w:pPr>
              <w:contextualSpacing/>
              <w:jc w:val="center"/>
            </w:pPr>
          </w:p>
        </w:tc>
      </w:tr>
      <w:tr w:rsidR="005B5DF6" w:rsidTr="009016C6">
        <w:tc>
          <w:tcPr>
            <w:tcW w:w="9635" w:type="dxa"/>
            <w:gridSpan w:val="3"/>
          </w:tcPr>
          <w:p w:rsidR="005B5DF6" w:rsidRDefault="005B5DF6" w:rsidP="002D3A9F">
            <w:pPr>
              <w:contextualSpacing/>
              <w:jc w:val="center"/>
            </w:pPr>
          </w:p>
        </w:tc>
      </w:tr>
      <w:tr w:rsidR="009016C6" w:rsidTr="009016C6">
        <w:tc>
          <w:tcPr>
            <w:tcW w:w="704" w:type="dxa"/>
            <w:vMerge w:val="restart"/>
          </w:tcPr>
          <w:p w:rsidR="009016C6" w:rsidRDefault="000E601D" w:rsidP="002D3A9F">
            <w:pPr>
              <w:contextualSpacing/>
            </w:pPr>
            <w:r>
              <w:lastRenderedPageBreak/>
              <w:t>5</w:t>
            </w:r>
            <w:r w:rsidR="009016C6">
              <w:t>.6</w:t>
            </w:r>
          </w:p>
        </w:tc>
        <w:tc>
          <w:tcPr>
            <w:tcW w:w="8358" w:type="dxa"/>
            <w:vAlign w:val="center"/>
          </w:tcPr>
          <w:p w:rsidR="009016C6" w:rsidRPr="006E4F9A" w:rsidRDefault="009016C6" w:rsidP="002D3A9F">
            <w:pPr>
              <w:contextualSpacing/>
              <w:jc w:val="both"/>
            </w:pPr>
            <w:r>
              <w:t>Having learnt from the difficult situation above, what would you consider doing differently when preparing the contract documentation for a similar project in future?</w:t>
            </w:r>
          </w:p>
        </w:tc>
        <w:tc>
          <w:tcPr>
            <w:tcW w:w="573" w:type="dxa"/>
            <w:vMerge w:val="restart"/>
          </w:tcPr>
          <w:p w:rsidR="009016C6" w:rsidRDefault="009016C6" w:rsidP="002D3A9F">
            <w:pPr>
              <w:contextualSpacing/>
              <w:jc w:val="center"/>
            </w:pPr>
            <w:r>
              <w:t>(2)</w:t>
            </w:r>
          </w:p>
        </w:tc>
      </w:tr>
      <w:tr w:rsidR="009016C6" w:rsidTr="009016C6">
        <w:tc>
          <w:tcPr>
            <w:tcW w:w="704" w:type="dxa"/>
            <w:vMerge/>
          </w:tcPr>
          <w:p w:rsidR="009016C6" w:rsidRDefault="009016C6" w:rsidP="002D3A9F">
            <w:pPr>
              <w:contextualSpacing/>
            </w:pPr>
          </w:p>
        </w:tc>
        <w:tc>
          <w:tcPr>
            <w:tcW w:w="8358" w:type="dxa"/>
            <w:vAlign w:val="center"/>
          </w:tcPr>
          <w:p w:rsidR="009016C6" w:rsidRDefault="009016C6" w:rsidP="002D3A9F">
            <w:pPr>
              <w:contextualSpacing/>
              <w:jc w:val="both"/>
            </w:pPr>
            <w:r w:rsidRPr="00F04B82">
              <w:rPr>
                <w:color w:val="FF0000"/>
              </w:rPr>
              <w:t xml:space="preserve">One would consider specifying dates for sectional completion within the </w:t>
            </w:r>
            <w:proofErr w:type="spellStart"/>
            <w:r w:rsidRPr="00F04B82">
              <w:rPr>
                <w:color w:val="FF0000"/>
              </w:rPr>
              <w:t>JBCC</w:t>
            </w:r>
            <w:proofErr w:type="spellEnd"/>
            <w:r w:rsidRPr="00F04B82">
              <w:rPr>
                <w:color w:val="FF0000"/>
              </w:rPr>
              <w:t>-PBA Contract Data</w:t>
            </w:r>
            <w:r w:rsidR="00CA1CAA">
              <w:rPr>
                <w:color w:val="FF0000"/>
              </w:rPr>
              <w:t>.</w:t>
            </w:r>
          </w:p>
        </w:tc>
        <w:tc>
          <w:tcPr>
            <w:tcW w:w="573" w:type="dxa"/>
            <w:vMerge/>
          </w:tcPr>
          <w:p w:rsidR="009016C6" w:rsidRDefault="009016C6" w:rsidP="002D3A9F">
            <w:pPr>
              <w:contextualSpacing/>
              <w:jc w:val="center"/>
            </w:pPr>
          </w:p>
        </w:tc>
      </w:tr>
    </w:tbl>
    <w:p w:rsidR="00E7166C" w:rsidRDefault="00E7166C" w:rsidP="00415E9F">
      <w:pPr>
        <w:spacing w:after="0" w:line="240" w:lineRule="auto"/>
        <w:contextualSpacing/>
        <w:jc w:val="both"/>
      </w:pPr>
    </w:p>
    <w:p w:rsidR="00D147B5" w:rsidRDefault="00D147B5" w:rsidP="00415E9F">
      <w:pPr>
        <w:spacing w:after="0" w:line="240" w:lineRule="auto"/>
        <w:contextualSpacing/>
        <w:jc w:val="both"/>
      </w:pPr>
    </w:p>
    <w:p w:rsidR="00E7166C" w:rsidRPr="008F2399" w:rsidRDefault="00D725CA" w:rsidP="00E7166C">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6</w:t>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E7166C">
        <w:rPr>
          <w:rFonts w:ascii="Century Gothic" w:hAnsi="Century Gothic"/>
          <w:b/>
          <w:bCs/>
          <w:color w:val="7F7F7F" w:themeColor="text1" w:themeTint="80"/>
          <w:spacing w:val="40"/>
          <w:szCs w:val="25"/>
        </w:rPr>
        <w:tab/>
      </w:r>
      <w:r w:rsidR="00C304EF">
        <w:rPr>
          <w:rFonts w:ascii="Century Gothic" w:hAnsi="Century Gothic"/>
          <w:bCs/>
          <w:i/>
          <w:color w:val="7F7F7F" w:themeColor="text1" w:themeTint="80"/>
          <w:spacing w:val="20"/>
          <w:szCs w:val="25"/>
        </w:rPr>
        <w:t>15</w:t>
      </w:r>
      <w:r w:rsidR="00E7166C" w:rsidRPr="000E439C">
        <w:rPr>
          <w:rFonts w:ascii="Century Gothic" w:hAnsi="Century Gothic"/>
          <w:bCs/>
          <w:i/>
          <w:color w:val="7F7F7F" w:themeColor="text1" w:themeTint="80"/>
          <w:spacing w:val="20"/>
          <w:szCs w:val="25"/>
        </w:rPr>
        <w:t xml:space="preserve"> marks</w:t>
      </w:r>
    </w:p>
    <w:p w:rsidR="00E7166C" w:rsidRDefault="00E7166C"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420"/>
        <w:gridCol w:w="7938"/>
        <w:gridCol w:w="573"/>
      </w:tblGrid>
      <w:tr w:rsidR="00B63823" w:rsidTr="009016C6">
        <w:tc>
          <w:tcPr>
            <w:tcW w:w="704" w:type="dxa"/>
            <w:vMerge w:val="restart"/>
          </w:tcPr>
          <w:p w:rsidR="00B63823" w:rsidRDefault="00D725CA" w:rsidP="002D3A9F">
            <w:pPr>
              <w:contextualSpacing/>
            </w:pPr>
            <w:r>
              <w:t>6</w:t>
            </w:r>
            <w:r w:rsidR="00B63823">
              <w:t>.1</w:t>
            </w:r>
          </w:p>
        </w:tc>
        <w:tc>
          <w:tcPr>
            <w:tcW w:w="8931" w:type="dxa"/>
            <w:gridSpan w:val="3"/>
            <w:vAlign w:val="center"/>
          </w:tcPr>
          <w:p w:rsidR="00B63823" w:rsidRDefault="00B63823" w:rsidP="00B63823">
            <w:pPr>
              <w:contextualSpacing/>
            </w:pPr>
            <w:r>
              <w:t xml:space="preserve">In terms of the </w:t>
            </w:r>
            <w:proofErr w:type="spellStart"/>
            <w:r>
              <w:t>JBCC</w:t>
            </w:r>
            <w:proofErr w:type="spellEnd"/>
            <w:r>
              <w:t xml:space="preserve"> Principal Building Agreement, what is the primary difference between the following causes of delay?</w:t>
            </w:r>
          </w:p>
        </w:tc>
      </w:tr>
      <w:tr w:rsidR="005B5DF6" w:rsidTr="009016C6">
        <w:tc>
          <w:tcPr>
            <w:tcW w:w="704" w:type="dxa"/>
            <w:vMerge/>
          </w:tcPr>
          <w:p w:rsidR="005B5DF6" w:rsidRDefault="005B5DF6" w:rsidP="002D3A9F">
            <w:pPr>
              <w:contextualSpacing/>
            </w:pPr>
          </w:p>
        </w:tc>
        <w:tc>
          <w:tcPr>
            <w:tcW w:w="8931" w:type="dxa"/>
            <w:gridSpan w:val="3"/>
          </w:tcPr>
          <w:p w:rsidR="005B5DF6" w:rsidRDefault="005B5DF6" w:rsidP="002D3A9F">
            <w:pPr>
              <w:contextualSpacing/>
              <w:jc w:val="center"/>
            </w:pPr>
          </w:p>
        </w:tc>
      </w:tr>
      <w:tr w:rsidR="009016C6" w:rsidTr="009016C6">
        <w:tc>
          <w:tcPr>
            <w:tcW w:w="704" w:type="dxa"/>
            <w:vMerge/>
          </w:tcPr>
          <w:p w:rsidR="009016C6" w:rsidRDefault="009016C6" w:rsidP="002D3A9F">
            <w:pPr>
              <w:contextualSpacing/>
            </w:pPr>
          </w:p>
        </w:tc>
        <w:tc>
          <w:tcPr>
            <w:tcW w:w="420" w:type="dxa"/>
            <w:vMerge w:val="restart"/>
          </w:tcPr>
          <w:p w:rsidR="009016C6" w:rsidRDefault="009016C6" w:rsidP="002D3A9F">
            <w:pPr>
              <w:contextualSpacing/>
              <w:jc w:val="center"/>
            </w:pPr>
            <w:r>
              <w:t>1.</w:t>
            </w:r>
          </w:p>
        </w:tc>
        <w:tc>
          <w:tcPr>
            <w:tcW w:w="7938" w:type="dxa"/>
            <w:vAlign w:val="center"/>
          </w:tcPr>
          <w:p w:rsidR="009016C6" w:rsidRDefault="009016C6" w:rsidP="002D3A9F">
            <w:pPr>
              <w:contextualSpacing/>
              <w:jc w:val="both"/>
            </w:pPr>
            <w:r>
              <w:t>F</w:t>
            </w:r>
            <w:r w:rsidRPr="00E7166C">
              <w:t>actors beyond the control of the employer or contractor</w:t>
            </w:r>
            <w:r>
              <w:t>.</w:t>
            </w:r>
          </w:p>
        </w:tc>
        <w:tc>
          <w:tcPr>
            <w:tcW w:w="573" w:type="dxa"/>
            <w:vMerge w:val="restart"/>
          </w:tcPr>
          <w:p w:rsidR="009016C6" w:rsidRDefault="00C304EF" w:rsidP="002D3A9F">
            <w:pPr>
              <w:contextualSpacing/>
              <w:jc w:val="center"/>
            </w:pPr>
            <w:r>
              <w:t>(3</w:t>
            </w:r>
            <w:r w:rsidR="009016C6">
              <w:t>)</w:t>
            </w:r>
          </w:p>
        </w:tc>
      </w:tr>
      <w:tr w:rsidR="009016C6" w:rsidTr="009016C6">
        <w:tc>
          <w:tcPr>
            <w:tcW w:w="704" w:type="dxa"/>
            <w:vMerge/>
          </w:tcPr>
          <w:p w:rsidR="009016C6" w:rsidRDefault="009016C6" w:rsidP="002D3A9F">
            <w:pPr>
              <w:contextualSpacing/>
            </w:pPr>
          </w:p>
        </w:tc>
        <w:tc>
          <w:tcPr>
            <w:tcW w:w="420" w:type="dxa"/>
            <w:vMerge/>
          </w:tcPr>
          <w:p w:rsidR="009016C6" w:rsidRDefault="009016C6" w:rsidP="002D3A9F">
            <w:pPr>
              <w:contextualSpacing/>
              <w:jc w:val="center"/>
            </w:pPr>
          </w:p>
        </w:tc>
        <w:tc>
          <w:tcPr>
            <w:tcW w:w="7938" w:type="dxa"/>
            <w:vAlign w:val="center"/>
          </w:tcPr>
          <w:p w:rsidR="009016C6" w:rsidRDefault="009016C6" w:rsidP="009016C6">
            <w:pPr>
              <w:contextualSpacing/>
              <w:jc w:val="both"/>
            </w:pPr>
            <w:r>
              <w:rPr>
                <w:color w:val="FF0000"/>
              </w:rPr>
              <w:t xml:space="preserve">Such delays will result in a revision of the date for practical completion </w:t>
            </w:r>
            <w:r>
              <w:rPr>
                <w:i/>
                <w:color w:val="FF0000"/>
              </w:rPr>
              <w:t>WITHOUT</w:t>
            </w:r>
            <w:r>
              <w:rPr>
                <w:color w:val="FF0000"/>
              </w:rPr>
              <w:t xml:space="preserve"> an adjustment of the contract value.</w:t>
            </w:r>
          </w:p>
        </w:tc>
        <w:tc>
          <w:tcPr>
            <w:tcW w:w="573" w:type="dxa"/>
            <w:vMerge/>
          </w:tcPr>
          <w:p w:rsidR="009016C6" w:rsidRDefault="009016C6" w:rsidP="002D3A9F">
            <w:pPr>
              <w:contextualSpacing/>
              <w:jc w:val="center"/>
            </w:pPr>
          </w:p>
        </w:tc>
      </w:tr>
      <w:tr w:rsidR="005B5DF6" w:rsidTr="009016C6">
        <w:tc>
          <w:tcPr>
            <w:tcW w:w="704" w:type="dxa"/>
            <w:vMerge/>
          </w:tcPr>
          <w:p w:rsidR="005B5DF6" w:rsidRDefault="005B5DF6" w:rsidP="002D3A9F">
            <w:pPr>
              <w:contextualSpacing/>
            </w:pPr>
          </w:p>
        </w:tc>
        <w:tc>
          <w:tcPr>
            <w:tcW w:w="8931" w:type="dxa"/>
            <w:gridSpan w:val="3"/>
          </w:tcPr>
          <w:p w:rsidR="005B5DF6" w:rsidRDefault="005B5DF6" w:rsidP="002D3A9F">
            <w:pPr>
              <w:contextualSpacing/>
              <w:jc w:val="center"/>
            </w:pPr>
          </w:p>
        </w:tc>
      </w:tr>
      <w:tr w:rsidR="009016C6" w:rsidTr="009016C6">
        <w:tc>
          <w:tcPr>
            <w:tcW w:w="704" w:type="dxa"/>
            <w:vMerge/>
          </w:tcPr>
          <w:p w:rsidR="009016C6" w:rsidRDefault="009016C6" w:rsidP="002D3A9F">
            <w:pPr>
              <w:contextualSpacing/>
            </w:pPr>
          </w:p>
        </w:tc>
        <w:tc>
          <w:tcPr>
            <w:tcW w:w="420" w:type="dxa"/>
            <w:vMerge w:val="restart"/>
          </w:tcPr>
          <w:p w:rsidR="009016C6" w:rsidRDefault="009016C6" w:rsidP="002D3A9F">
            <w:pPr>
              <w:contextualSpacing/>
              <w:jc w:val="center"/>
            </w:pPr>
            <w:r>
              <w:t>2.</w:t>
            </w:r>
          </w:p>
        </w:tc>
        <w:tc>
          <w:tcPr>
            <w:tcW w:w="7938" w:type="dxa"/>
            <w:vAlign w:val="center"/>
          </w:tcPr>
          <w:p w:rsidR="009016C6" w:rsidRDefault="009016C6" w:rsidP="002D3A9F">
            <w:pPr>
              <w:contextualSpacing/>
              <w:jc w:val="both"/>
            </w:pPr>
            <w:r>
              <w:t>Factors caused by the employer or the employer’s agents.</w:t>
            </w:r>
          </w:p>
        </w:tc>
        <w:tc>
          <w:tcPr>
            <w:tcW w:w="573" w:type="dxa"/>
            <w:vMerge w:val="restart"/>
          </w:tcPr>
          <w:p w:rsidR="009016C6" w:rsidRDefault="00C304EF" w:rsidP="002D3A9F">
            <w:pPr>
              <w:contextualSpacing/>
              <w:jc w:val="center"/>
            </w:pPr>
            <w:r>
              <w:t>(3</w:t>
            </w:r>
            <w:r w:rsidR="009016C6">
              <w:t>)</w:t>
            </w:r>
          </w:p>
        </w:tc>
      </w:tr>
      <w:tr w:rsidR="009016C6" w:rsidTr="009016C6">
        <w:tc>
          <w:tcPr>
            <w:tcW w:w="704" w:type="dxa"/>
            <w:vMerge/>
          </w:tcPr>
          <w:p w:rsidR="009016C6" w:rsidRDefault="009016C6" w:rsidP="002D3A9F">
            <w:pPr>
              <w:contextualSpacing/>
            </w:pPr>
          </w:p>
        </w:tc>
        <w:tc>
          <w:tcPr>
            <w:tcW w:w="420" w:type="dxa"/>
            <w:vMerge/>
          </w:tcPr>
          <w:p w:rsidR="009016C6" w:rsidRDefault="009016C6" w:rsidP="002D3A9F">
            <w:pPr>
              <w:contextualSpacing/>
              <w:jc w:val="center"/>
            </w:pPr>
          </w:p>
        </w:tc>
        <w:tc>
          <w:tcPr>
            <w:tcW w:w="7938" w:type="dxa"/>
            <w:vAlign w:val="center"/>
          </w:tcPr>
          <w:p w:rsidR="009016C6" w:rsidRDefault="009016C6" w:rsidP="002D3A9F">
            <w:pPr>
              <w:contextualSpacing/>
              <w:jc w:val="both"/>
            </w:pPr>
            <w:r>
              <w:rPr>
                <w:color w:val="FF0000"/>
              </w:rPr>
              <w:t xml:space="preserve">Such delays will result in a revision of the date for practical completion </w:t>
            </w:r>
            <w:r>
              <w:rPr>
                <w:i/>
                <w:color w:val="FF0000"/>
              </w:rPr>
              <w:t>WITH</w:t>
            </w:r>
            <w:r>
              <w:rPr>
                <w:color w:val="FF0000"/>
              </w:rPr>
              <w:t xml:space="preserve"> an adjustment of the contract value.</w:t>
            </w:r>
          </w:p>
        </w:tc>
        <w:tc>
          <w:tcPr>
            <w:tcW w:w="573" w:type="dxa"/>
            <w:vMerge/>
          </w:tcPr>
          <w:p w:rsidR="009016C6" w:rsidRDefault="009016C6" w:rsidP="002D3A9F">
            <w:pPr>
              <w:contextualSpacing/>
              <w:jc w:val="center"/>
            </w:pPr>
          </w:p>
        </w:tc>
      </w:tr>
      <w:tr w:rsidR="005B5DF6" w:rsidTr="009016C6">
        <w:tc>
          <w:tcPr>
            <w:tcW w:w="9635" w:type="dxa"/>
            <w:gridSpan w:val="4"/>
          </w:tcPr>
          <w:p w:rsidR="005B5DF6" w:rsidRDefault="005B5DF6" w:rsidP="002D3A9F">
            <w:pPr>
              <w:contextualSpacing/>
              <w:jc w:val="center"/>
            </w:pPr>
          </w:p>
        </w:tc>
      </w:tr>
      <w:tr w:rsidR="009016C6" w:rsidTr="009016C6">
        <w:tc>
          <w:tcPr>
            <w:tcW w:w="704" w:type="dxa"/>
            <w:vMerge w:val="restart"/>
          </w:tcPr>
          <w:p w:rsidR="009016C6" w:rsidRDefault="00D725CA" w:rsidP="002D3A9F">
            <w:pPr>
              <w:contextualSpacing/>
            </w:pPr>
            <w:r>
              <w:t>6</w:t>
            </w:r>
            <w:r w:rsidR="009016C6">
              <w:t>.2</w:t>
            </w:r>
          </w:p>
        </w:tc>
        <w:tc>
          <w:tcPr>
            <w:tcW w:w="8358" w:type="dxa"/>
            <w:gridSpan w:val="2"/>
            <w:vAlign w:val="center"/>
          </w:tcPr>
          <w:p w:rsidR="009016C6" w:rsidRDefault="009016C6" w:rsidP="00C5296A">
            <w:pPr>
              <w:contextualSpacing/>
              <w:jc w:val="both"/>
            </w:pPr>
            <w:r>
              <w:t>What are th</w:t>
            </w:r>
            <w:r w:rsidR="000B68BB">
              <w:t>re</w:t>
            </w:r>
            <w:r>
              <w:t>e guiding principles to consider when assessing a contractor’s claims for the revision of the date for practical completion as principal agent?</w:t>
            </w:r>
          </w:p>
        </w:tc>
        <w:tc>
          <w:tcPr>
            <w:tcW w:w="573" w:type="dxa"/>
            <w:vMerge w:val="restart"/>
          </w:tcPr>
          <w:p w:rsidR="009016C6" w:rsidRDefault="00C304EF" w:rsidP="002D3A9F">
            <w:pPr>
              <w:contextualSpacing/>
              <w:jc w:val="center"/>
            </w:pPr>
            <w:r>
              <w:t>(9</w:t>
            </w:r>
            <w:r w:rsidR="009016C6">
              <w:t>)</w:t>
            </w:r>
          </w:p>
        </w:tc>
      </w:tr>
      <w:tr w:rsidR="009016C6" w:rsidTr="009016C6">
        <w:tc>
          <w:tcPr>
            <w:tcW w:w="704" w:type="dxa"/>
            <w:vMerge/>
          </w:tcPr>
          <w:p w:rsidR="009016C6" w:rsidRDefault="009016C6" w:rsidP="002D3A9F">
            <w:pPr>
              <w:contextualSpacing/>
            </w:pPr>
          </w:p>
        </w:tc>
        <w:tc>
          <w:tcPr>
            <w:tcW w:w="8358" w:type="dxa"/>
            <w:gridSpan w:val="2"/>
            <w:vAlign w:val="center"/>
          </w:tcPr>
          <w:p w:rsidR="009016C6" w:rsidRDefault="009016C6" w:rsidP="009016C6">
            <w:pPr>
              <w:contextualSpacing/>
              <w:jc w:val="both"/>
            </w:pPr>
            <w:r w:rsidRPr="007B3D47">
              <w:rPr>
                <w:i/>
                <w:color w:val="FF0000"/>
              </w:rPr>
              <w:t xml:space="preserve">Any of the following </w:t>
            </w:r>
            <w:r>
              <w:rPr>
                <w:i/>
                <w:color w:val="FF0000"/>
              </w:rPr>
              <w:t xml:space="preserve">or in a similar vein </w:t>
            </w:r>
            <w:r w:rsidRPr="007B3D47">
              <w:rPr>
                <w:i/>
                <w:color w:val="FF0000"/>
              </w:rPr>
              <w:t>(</w:t>
            </w:r>
            <w:r w:rsidR="00833D98">
              <w:rPr>
                <w:i/>
                <w:color w:val="FF0000"/>
              </w:rPr>
              <w:t>3</w:t>
            </w:r>
            <w:r w:rsidRPr="007B3D47">
              <w:rPr>
                <w:i/>
                <w:color w:val="FF0000"/>
              </w:rPr>
              <w:t xml:space="preserve"> mark</w:t>
            </w:r>
            <w:r>
              <w:rPr>
                <w:i/>
                <w:color w:val="FF0000"/>
              </w:rPr>
              <w:t>s</w:t>
            </w:r>
            <w:r w:rsidRPr="007B3D47">
              <w:rPr>
                <w:i/>
                <w:color w:val="FF0000"/>
              </w:rPr>
              <w:t xml:space="preserve"> each – total </w:t>
            </w:r>
            <w:r w:rsidR="00833D98">
              <w:rPr>
                <w:i/>
                <w:color w:val="FF0000"/>
              </w:rPr>
              <w:t>of 9</w:t>
            </w:r>
            <w:r w:rsidRPr="007B3D47">
              <w:rPr>
                <w:i/>
                <w:color w:val="FF0000"/>
              </w:rPr>
              <w:t xml:space="preserve"> marks)</w:t>
            </w:r>
          </w:p>
          <w:p w:rsidR="009016C6" w:rsidRPr="00C5296A" w:rsidRDefault="009016C6" w:rsidP="009016C6">
            <w:pPr>
              <w:pStyle w:val="ListParagraph"/>
              <w:numPr>
                <w:ilvl w:val="0"/>
                <w:numId w:val="31"/>
              </w:numPr>
              <w:ind w:left="312" w:hanging="283"/>
              <w:rPr>
                <w:color w:val="FF0000"/>
              </w:rPr>
            </w:pPr>
            <w:r w:rsidRPr="00C5296A">
              <w:rPr>
                <w:color w:val="FF0000"/>
              </w:rPr>
              <w:t>The principal agent must act fairly between the parties and in accordance with the terms of the contract.</w:t>
            </w:r>
          </w:p>
          <w:p w:rsidR="009016C6" w:rsidRPr="00C5296A" w:rsidRDefault="009016C6" w:rsidP="009016C6">
            <w:pPr>
              <w:pStyle w:val="ListParagraph"/>
              <w:numPr>
                <w:ilvl w:val="0"/>
                <w:numId w:val="31"/>
              </w:numPr>
              <w:ind w:left="312" w:hanging="283"/>
              <w:rPr>
                <w:color w:val="FF0000"/>
              </w:rPr>
            </w:pPr>
            <w:r w:rsidRPr="00C5296A">
              <w:rPr>
                <w:color w:val="FF0000"/>
              </w:rPr>
              <w:t>Make sure that all the facts regarding the claim are established in order to ensure that the revised date for practical completion is accurately determined.</w:t>
            </w:r>
          </w:p>
          <w:p w:rsidR="009016C6" w:rsidRDefault="009016C6" w:rsidP="009016C6">
            <w:pPr>
              <w:pStyle w:val="ListParagraph"/>
              <w:numPr>
                <w:ilvl w:val="0"/>
                <w:numId w:val="31"/>
              </w:numPr>
              <w:ind w:left="312" w:hanging="283"/>
              <w:rPr>
                <w:color w:val="FF0000"/>
              </w:rPr>
            </w:pPr>
            <w:r w:rsidRPr="00C5296A">
              <w:rPr>
                <w:color w:val="FF0000"/>
              </w:rPr>
              <w:t>Evaluate whether the contractor adhered to the contractual obligations regarding the notification and the claim</w:t>
            </w:r>
            <w:r>
              <w:rPr>
                <w:color w:val="FF0000"/>
              </w:rPr>
              <w:t>.</w:t>
            </w:r>
          </w:p>
          <w:p w:rsidR="009016C6" w:rsidRPr="009016C6" w:rsidRDefault="009016C6" w:rsidP="009016C6">
            <w:pPr>
              <w:pStyle w:val="ListParagraph"/>
              <w:numPr>
                <w:ilvl w:val="0"/>
                <w:numId w:val="31"/>
              </w:numPr>
              <w:ind w:left="312" w:hanging="283"/>
            </w:pPr>
            <w:r>
              <w:rPr>
                <w:color w:val="FF0000"/>
              </w:rPr>
              <w:t>Not to consider the effect of each circumstance or claim separately and independently.</w:t>
            </w:r>
          </w:p>
          <w:p w:rsidR="009016C6" w:rsidRDefault="009016C6" w:rsidP="009016C6">
            <w:pPr>
              <w:pStyle w:val="ListParagraph"/>
              <w:numPr>
                <w:ilvl w:val="0"/>
                <w:numId w:val="31"/>
              </w:numPr>
              <w:ind w:left="312" w:hanging="283"/>
            </w:pPr>
            <w:r>
              <w:rPr>
                <w:color w:val="FF0000"/>
              </w:rPr>
              <w:t>Consider what the position would be if each circumstance or claim had not occurred.</w:t>
            </w:r>
          </w:p>
        </w:tc>
        <w:tc>
          <w:tcPr>
            <w:tcW w:w="573" w:type="dxa"/>
            <w:vMerge/>
          </w:tcPr>
          <w:p w:rsidR="009016C6" w:rsidRDefault="009016C6" w:rsidP="002D3A9F">
            <w:pPr>
              <w:contextualSpacing/>
              <w:jc w:val="center"/>
            </w:pPr>
          </w:p>
        </w:tc>
      </w:tr>
    </w:tbl>
    <w:p w:rsidR="00CB677B" w:rsidRDefault="00CB677B" w:rsidP="00415E9F">
      <w:pPr>
        <w:spacing w:after="0" w:line="240" w:lineRule="auto"/>
        <w:contextualSpacing/>
        <w:jc w:val="both"/>
      </w:pPr>
    </w:p>
    <w:p w:rsidR="0071268D" w:rsidRDefault="0071268D" w:rsidP="00415E9F">
      <w:pPr>
        <w:spacing w:after="0" w:line="240" w:lineRule="auto"/>
        <w:contextualSpacing/>
        <w:jc w:val="both"/>
      </w:pPr>
    </w:p>
    <w:p w:rsidR="0071268D" w:rsidRPr="008F2399" w:rsidRDefault="0071268D" w:rsidP="0071268D">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QUESTION 7</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4933E1">
        <w:rPr>
          <w:rFonts w:ascii="Century Gothic" w:hAnsi="Century Gothic"/>
          <w:bCs/>
          <w:i/>
          <w:color w:val="7F7F7F" w:themeColor="text1" w:themeTint="80"/>
          <w:spacing w:val="20"/>
          <w:szCs w:val="25"/>
        </w:rPr>
        <w:t>20</w:t>
      </w:r>
      <w:r w:rsidRPr="000E439C">
        <w:rPr>
          <w:rFonts w:ascii="Century Gothic" w:hAnsi="Century Gothic"/>
          <w:bCs/>
          <w:i/>
          <w:color w:val="7F7F7F" w:themeColor="text1" w:themeTint="80"/>
          <w:spacing w:val="20"/>
          <w:szCs w:val="25"/>
        </w:rPr>
        <w:t xml:space="preserve"> marks</w:t>
      </w:r>
    </w:p>
    <w:p w:rsidR="001D2D68" w:rsidRDefault="001D2D68"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1D2D68" w:rsidTr="001D2D68">
        <w:tc>
          <w:tcPr>
            <w:tcW w:w="704" w:type="dxa"/>
            <w:vMerge w:val="restart"/>
          </w:tcPr>
          <w:p w:rsidR="001D2D68" w:rsidRDefault="001D2D68" w:rsidP="00C4522B">
            <w:pPr>
              <w:contextualSpacing/>
            </w:pPr>
            <w:r>
              <w:t>7.1</w:t>
            </w:r>
          </w:p>
        </w:tc>
        <w:tc>
          <w:tcPr>
            <w:tcW w:w="8358" w:type="dxa"/>
            <w:vAlign w:val="center"/>
          </w:tcPr>
          <w:p w:rsidR="001D2D68" w:rsidRDefault="000B68BB" w:rsidP="001D2D68">
            <w:pPr>
              <w:contextualSpacing/>
              <w:jc w:val="both"/>
            </w:pPr>
            <w:r>
              <w:t>A client who has entered into a Professional Service Agreement with an architectural professional has declared a dispute and wishes to refer the matter to adjudication. Would this be the correct course of action and why?</w:t>
            </w:r>
          </w:p>
        </w:tc>
        <w:tc>
          <w:tcPr>
            <w:tcW w:w="573" w:type="dxa"/>
          </w:tcPr>
          <w:p w:rsidR="001D2D68" w:rsidRDefault="001D2D68" w:rsidP="00C4522B">
            <w:pPr>
              <w:contextualSpacing/>
              <w:jc w:val="center"/>
            </w:pPr>
            <w:r>
              <w:t>(</w:t>
            </w:r>
            <w:r w:rsidR="00833D98">
              <w:t>6</w:t>
            </w:r>
            <w:r>
              <w:t>)</w:t>
            </w:r>
          </w:p>
        </w:tc>
      </w:tr>
      <w:tr w:rsidR="001D2D68" w:rsidTr="001D2D68">
        <w:tc>
          <w:tcPr>
            <w:tcW w:w="704" w:type="dxa"/>
            <w:vMerge/>
          </w:tcPr>
          <w:p w:rsidR="001D2D68" w:rsidRDefault="001D2D68" w:rsidP="00C4522B">
            <w:pPr>
              <w:contextualSpacing/>
            </w:pPr>
          </w:p>
        </w:tc>
        <w:tc>
          <w:tcPr>
            <w:tcW w:w="8358" w:type="dxa"/>
            <w:vAlign w:val="center"/>
          </w:tcPr>
          <w:p w:rsidR="001D2D68" w:rsidRDefault="000B68BB" w:rsidP="000B68BB">
            <w:pPr>
              <w:contextualSpacing/>
            </w:pPr>
            <w:r>
              <w:rPr>
                <w:color w:val="FF0000"/>
              </w:rPr>
              <w:t xml:space="preserve">This is an </w:t>
            </w:r>
            <w:r>
              <w:rPr>
                <w:i/>
                <w:color w:val="FF0000"/>
              </w:rPr>
              <w:t>INCORRECT</w:t>
            </w:r>
            <w:r>
              <w:rPr>
                <w:color w:val="FF0000"/>
              </w:rPr>
              <w:t xml:space="preserve"> course of action </w:t>
            </w:r>
            <w:r w:rsidR="00833D98">
              <w:rPr>
                <w:color w:val="FF0000"/>
                <w:vertAlign w:val="superscript"/>
              </w:rPr>
              <w:t>(2</w:t>
            </w:r>
            <w:r>
              <w:rPr>
                <w:color w:val="FF0000"/>
                <w:vertAlign w:val="superscript"/>
              </w:rPr>
              <w:t>)</w:t>
            </w:r>
            <w:r>
              <w:rPr>
                <w:color w:val="FF0000"/>
              </w:rPr>
              <w:t xml:space="preserve">, as Professional Service Agreements do not allow for adjudication as an alternative means of dispute resolution </w:t>
            </w:r>
            <w:r w:rsidR="00833D98">
              <w:rPr>
                <w:color w:val="FF0000"/>
                <w:vertAlign w:val="superscript"/>
              </w:rPr>
              <w:t>(4</w:t>
            </w:r>
            <w:r>
              <w:rPr>
                <w:color w:val="FF0000"/>
                <w:vertAlign w:val="superscript"/>
              </w:rPr>
              <w:t>)</w:t>
            </w:r>
            <w:r>
              <w:rPr>
                <w:color w:val="FF0000"/>
              </w:rPr>
              <w:t>.</w:t>
            </w:r>
          </w:p>
        </w:tc>
        <w:tc>
          <w:tcPr>
            <w:tcW w:w="573" w:type="dxa"/>
          </w:tcPr>
          <w:p w:rsidR="001D2D68" w:rsidRDefault="001D2D68" w:rsidP="00C4522B">
            <w:pPr>
              <w:contextualSpacing/>
              <w:jc w:val="center"/>
            </w:pPr>
          </w:p>
        </w:tc>
      </w:tr>
      <w:tr w:rsidR="001D2D68" w:rsidTr="001D2D68">
        <w:tc>
          <w:tcPr>
            <w:tcW w:w="704" w:type="dxa"/>
          </w:tcPr>
          <w:p w:rsidR="001D2D68" w:rsidRDefault="001D2D68" w:rsidP="00C4522B">
            <w:pPr>
              <w:contextualSpacing/>
            </w:pPr>
          </w:p>
        </w:tc>
        <w:tc>
          <w:tcPr>
            <w:tcW w:w="8358" w:type="dxa"/>
            <w:vAlign w:val="center"/>
          </w:tcPr>
          <w:p w:rsidR="001D2D68" w:rsidRDefault="001D2D68" w:rsidP="00C4522B">
            <w:pPr>
              <w:contextualSpacing/>
            </w:pPr>
          </w:p>
        </w:tc>
        <w:tc>
          <w:tcPr>
            <w:tcW w:w="573" w:type="dxa"/>
          </w:tcPr>
          <w:p w:rsidR="001D2D68" w:rsidRDefault="001D2D68" w:rsidP="00C4522B">
            <w:pPr>
              <w:contextualSpacing/>
              <w:jc w:val="center"/>
            </w:pPr>
          </w:p>
        </w:tc>
      </w:tr>
      <w:tr w:rsidR="004933E1" w:rsidTr="001D2D68">
        <w:tc>
          <w:tcPr>
            <w:tcW w:w="704" w:type="dxa"/>
            <w:vMerge w:val="restart"/>
          </w:tcPr>
          <w:p w:rsidR="004933E1" w:rsidRDefault="004933E1" w:rsidP="00C4522B">
            <w:pPr>
              <w:contextualSpacing/>
            </w:pPr>
            <w:r>
              <w:t>7.2</w:t>
            </w:r>
          </w:p>
        </w:tc>
        <w:tc>
          <w:tcPr>
            <w:tcW w:w="8358" w:type="dxa"/>
          </w:tcPr>
          <w:p w:rsidR="004933E1" w:rsidRDefault="004933E1" w:rsidP="00CA1CAA">
            <w:pPr>
              <w:contextualSpacing/>
              <w:jc w:val="both"/>
            </w:pPr>
            <w:r>
              <w:t>Provide two examples of the lawful termination of a</w:t>
            </w:r>
            <w:r w:rsidR="00CA1CAA">
              <w:t xml:space="preserve"> contract</w:t>
            </w:r>
            <w:r>
              <w:t>.</w:t>
            </w:r>
          </w:p>
        </w:tc>
        <w:tc>
          <w:tcPr>
            <w:tcW w:w="573" w:type="dxa"/>
          </w:tcPr>
          <w:p w:rsidR="004933E1" w:rsidRDefault="004933E1" w:rsidP="00C4522B">
            <w:pPr>
              <w:contextualSpacing/>
              <w:jc w:val="center"/>
            </w:pPr>
            <w:r>
              <w:t>(5)</w:t>
            </w:r>
          </w:p>
        </w:tc>
      </w:tr>
      <w:tr w:rsidR="004933E1" w:rsidTr="001D2D68">
        <w:tc>
          <w:tcPr>
            <w:tcW w:w="704" w:type="dxa"/>
            <w:vMerge/>
          </w:tcPr>
          <w:p w:rsidR="004933E1" w:rsidRDefault="004933E1" w:rsidP="00C4522B">
            <w:pPr>
              <w:contextualSpacing/>
            </w:pPr>
          </w:p>
        </w:tc>
        <w:tc>
          <w:tcPr>
            <w:tcW w:w="8358" w:type="dxa"/>
          </w:tcPr>
          <w:p w:rsidR="004933E1" w:rsidRDefault="004933E1" w:rsidP="004933E1">
            <w:pPr>
              <w:contextualSpacing/>
              <w:rPr>
                <w:i/>
                <w:color w:val="FF0000"/>
              </w:rPr>
            </w:pPr>
            <w:r w:rsidRPr="007B3D47">
              <w:rPr>
                <w:i/>
                <w:color w:val="FF0000"/>
              </w:rPr>
              <w:t>Any of the following (</w:t>
            </w:r>
            <w:r>
              <w:rPr>
                <w:i/>
                <w:color w:val="FF0000"/>
              </w:rPr>
              <w:t>2.5</w:t>
            </w:r>
            <w:r w:rsidRPr="007B3D47">
              <w:rPr>
                <w:i/>
                <w:color w:val="FF0000"/>
              </w:rPr>
              <w:t xml:space="preserve"> mark</w:t>
            </w:r>
            <w:r>
              <w:rPr>
                <w:i/>
                <w:color w:val="FF0000"/>
              </w:rPr>
              <w:t>s</w:t>
            </w:r>
            <w:r w:rsidRPr="007B3D47">
              <w:rPr>
                <w:i/>
                <w:color w:val="FF0000"/>
              </w:rPr>
              <w:t xml:space="preserve"> each – total </w:t>
            </w:r>
            <w:r>
              <w:rPr>
                <w:i/>
                <w:color w:val="FF0000"/>
              </w:rPr>
              <w:t>of 5</w:t>
            </w:r>
            <w:r w:rsidRPr="007B3D47">
              <w:rPr>
                <w:i/>
                <w:color w:val="FF0000"/>
              </w:rPr>
              <w:t xml:space="preserve"> marks)</w:t>
            </w:r>
          </w:p>
          <w:p w:rsidR="004933E1" w:rsidRDefault="004933E1" w:rsidP="004933E1">
            <w:pPr>
              <w:pStyle w:val="ListParagraph"/>
              <w:numPr>
                <w:ilvl w:val="0"/>
                <w:numId w:val="31"/>
              </w:numPr>
              <w:ind w:left="312" w:hanging="283"/>
              <w:rPr>
                <w:color w:val="FF0000"/>
              </w:rPr>
            </w:pPr>
            <w:r>
              <w:rPr>
                <w:color w:val="FF0000"/>
              </w:rPr>
              <w:t>The performance of all contractual obligations</w:t>
            </w:r>
            <w:r w:rsidR="00CA1CAA">
              <w:rPr>
                <w:color w:val="FF0000"/>
              </w:rPr>
              <w:t>.</w:t>
            </w:r>
          </w:p>
          <w:p w:rsidR="004933E1" w:rsidRDefault="004933E1" w:rsidP="004933E1">
            <w:pPr>
              <w:pStyle w:val="ListParagraph"/>
              <w:numPr>
                <w:ilvl w:val="0"/>
                <w:numId w:val="31"/>
              </w:numPr>
              <w:ind w:left="312" w:hanging="283"/>
              <w:rPr>
                <w:color w:val="FF0000"/>
              </w:rPr>
            </w:pPr>
            <w:r>
              <w:rPr>
                <w:color w:val="FF0000"/>
              </w:rPr>
              <w:t>Mutual agreement to terminate if not all obligations are performed</w:t>
            </w:r>
            <w:r w:rsidR="00CA1CAA">
              <w:rPr>
                <w:color w:val="FF0000"/>
              </w:rPr>
              <w:t>.</w:t>
            </w:r>
          </w:p>
          <w:p w:rsidR="004933E1" w:rsidRPr="004933E1" w:rsidRDefault="004933E1" w:rsidP="004933E1">
            <w:pPr>
              <w:pStyle w:val="ListParagraph"/>
              <w:numPr>
                <w:ilvl w:val="0"/>
                <w:numId w:val="31"/>
              </w:numPr>
              <w:ind w:left="312" w:hanging="283"/>
              <w:rPr>
                <w:i/>
              </w:rPr>
            </w:pPr>
            <w:r>
              <w:rPr>
                <w:color w:val="FF0000"/>
              </w:rPr>
              <w:t>The ceding of obligations of a party to another party under a new contract</w:t>
            </w:r>
            <w:r w:rsidR="00CA1CAA">
              <w:rPr>
                <w:color w:val="FF0000"/>
              </w:rPr>
              <w:t>.</w:t>
            </w:r>
          </w:p>
        </w:tc>
        <w:tc>
          <w:tcPr>
            <w:tcW w:w="573" w:type="dxa"/>
          </w:tcPr>
          <w:p w:rsidR="004933E1" w:rsidRDefault="004933E1" w:rsidP="00C4522B">
            <w:pPr>
              <w:contextualSpacing/>
              <w:jc w:val="center"/>
            </w:pPr>
          </w:p>
        </w:tc>
      </w:tr>
      <w:tr w:rsidR="004933E1" w:rsidTr="00AB5ED8">
        <w:tc>
          <w:tcPr>
            <w:tcW w:w="9635" w:type="dxa"/>
            <w:gridSpan w:val="3"/>
          </w:tcPr>
          <w:p w:rsidR="004933E1" w:rsidRDefault="004933E1" w:rsidP="00C4522B">
            <w:pPr>
              <w:contextualSpacing/>
              <w:jc w:val="center"/>
            </w:pPr>
          </w:p>
        </w:tc>
      </w:tr>
      <w:tr w:rsidR="001D2D68" w:rsidTr="001D2D68">
        <w:tc>
          <w:tcPr>
            <w:tcW w:w="704" w:type="dxa"/>
            <w:vMerge w:val="restart"/>
          </w:tcPr>
          <w:p w:rsidR="001D2D68" w:rsidRDefault="004933E1" w:rsidP="00C4522B">
            <w:pPr>
              <w:contextualSpacing/>
            </w:pPr>
            <w:r>
              <w:t>7.3</w:t>
            </w:r>
          </w:p>
        </w:tc>
        <w:tc>
          <w:tcPr>
            <w:tcW w:w="8358" w:type="dxa"/>
          </w:tcPr>
          <w:p w:rsidR="001D2D68" w:rsidRDefault="001D2D68" w:rsidP="005E37D7">
            <w:pPr>
              <w:contextualSpacing/>
              <w:jc w:val="both"/>
            </w:pPr>
            <w:r>
              <w:t xml:space="preserve">Provide </w:t>
            </w:r>
            <w:r w:rsidR="00833D98">
              <w:t>three</w:t>
            </w:r>
            <w:r>
              <w:t xml:space="preserve"> examples of what in your view would be regarded as unethical behaviour in the provision of services as an architectural professional?</w:t>
            </w:r>
          </w:p>
        </w:tc>
        <w:tc>
          <w:tcPr>
            <w:tcW w:w="573" w:type="dxa"/>
            <w:vMerge w:val="restart"/>
          </w:tcPr>
          <w:p w:rsidR="001D2D68" w:rsidRDefault="001D2D68" w:rsidP="00C4522B">
            <w:pPr>
              <w:contextualSpacing/>
              <w:jc w:val="center"/>
            </w:pPr>
            <w:r>
              <w:t>(</w:t>
            </w:r>
            <w:r w:rsidR="00833D98">
              <w:t>9</w:t>
            </w:r>
            <w:r>
              <w:t>)</w:t>
            </w:r>
          </w:p>
        </w:tc>
      </w:tr>
      <w:tr w:rsidR="001D2D68" w:rsidTr="001D2D68">
        <w:tc>
          <w:tcPr>
            <w:tcW w:w="704" w:type="dxa"/>
            <w:vMerge/>
          </w:tcPr>
          <w:p w:rsidR="001D2D68" w:rsidRDefault="001D2D68" w:rsidP="00C4522B">
            <w:pPr>
              <w:contextualSpacing/>
            </w:pPr>
          </w:p>
        </w:tc>
        <w:tc>
          <w:tcPr>
            <w:tcW w:w="8358" w:type="dxa"/>
          </w:tcPr>
          <w:p w:rsidR="001D2D68" w:rsidRPr="00CA1CAA" w:rsidRDefault="004718C5" w:rsidP="00CA1CAA">
            <w:pPr>
              <w:contextualSpacing/>
              <w:rPr>
                <w:i/>
                <w:color w:val="FF0000"/>
              </w:rPr>
            </w:pPr>
            <w:r>
              <w:rPr>
                <w:i/>
                <w:color w:val="FF0000"/>
              </w:rPr>
              <w:t>N</w:t>
            </w:r>
            <w:r w:rsidR="001D2D68">
              <w:rPr>
                <w:i/>
                <w:color w:val="FF0000"/>
              </w:rPr>
              <w:t>ot all possible answers are listed, and the marker will be required to assess the insight of the candid</w:t>
            </w:r>
            <w:r w:rsidR="00CA1CAA">
              <w:rPr>
                <w:i/>
                <w:color w:val="FF0000"/>
              </w:rPr>
              <w:t xml:space="preserve">ate in answering this question. </w:t>
            </w:r>
            <w:r w:rsidR="00CA1CAA" w:rsidRPr="007B3D47">
              <w:rPr>
                <w:i/>
                <w:color w:val="FF0000"/>
              </w:rPr>
              <w:t>(</w:t>
            </w:r>
            <w:r w:rsidR="00CA1CAA">
              <w:rPr>
                <w:i/>
                <w:color w:val="FF0000"/>
              </w:rPr>
              <w:t>3</w:t>
            </w:r>
            <w:r w:rsidR="00CA1CAA" w:rsidRPr="007B3D47">
              <w:rPr>
                <w:i/>
                <w:color w:val="FF0000"/>
              </w:rPr>
              <w:t xml:space="preserve"> mark</w:t>
            </w:r>
            <w:r w:rsidR="00CA1CAA">
              <w:rPr>
                <w:i/>
                <w:color w:val="FF0000"/>
              </w:rPr>
              <w:t>s</w:t>
            </w:r>
            <w:r w:rsidR="00CA1CAA" w:rsidRPr="007B3D47">
              <w:rPr>
                <w:i/>
                <w:color w:val="FF0000"/>
              </w:rPr>
              <w:t xml:space="preserve"> each – total </w:t>
            </w:r>
            <w:r w:rsidR="00CA1CAA">
              <w:rPr>
                <w:i/>
                <w:color w:val="FF0000"/>
              </w:rPr>
              <w:t>of 9</w:t>
            </w:r>
            <w:r w:rsidR="00CA1CAA" w:rsidRPr="007B3D47">
              <w:rPr>
                <w:i/>
                <w:color w:val="FF0000"/>
              </w:rPr>
              <w:t xml:space="preserve"> marks)</w:t>
            </w:r>
          </w:p>
        </w:tc>
        <w:tc>
          <w:tcPr>
            <w:tcW w:w="573" w:type="dxa"/>
            <w:vMerge/>
          </w:tcPr>
          <w:p w:rsidR="001D2D68" w:rsidRDefault="001D2D68" w:rsidP="00C4522B">
            <w:pPr>
              <w:contextualSpacing/>
              <w:jc w:val="center"/>
            </w:pPr>
          </w:p>
        </w:tc>
      </w:tr>
    </w:tbl>
    <w:p w:rsidR="004C44F6" w:rsidRDefault="004C44F6" w:rsidP="00415E9F">
      <w:pPr>
        <w:spacing w:after="0" w:line="240" w:lineRule="auto"/>
        <w:contextualSpacing/>
        <w:jc w:val="both"/>
      </w:pPr>
    </w:p>
    <w:p w:rsidR="004718C5" w:rsidRPr="003C7F1D" w:rsidRDefault="004718C5" w:rsidP="00415E9F">
      <w:pPr>
        <w:spacing w:after="0" w:line="240" w:lineRule="auto"/>
        <w:contextualSpacing/>
        <w:jc w:val="both"/>
        <w:rPr>
          <w:b/>
          <w:color w:val="FF0000"/>
          <w:sz w:val="24"/>
        </w:rPr>
      </w:pPr>
    </w:p>
    <w:sectPr w:rsidR="004718C5" w:rsidRPr="003C7F1D"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5E" w:rsidRDefault="006F205E" w:rsidP="00A14DAA">
      <w:pPr>
        <w:spacing w:after="0" w:line="240" w:lineRule="auto"/>
      </w:pPr>
      <w:r>
        <w:separator/>
      </w:r>
    </w:p>
  </w:endnote>
  <w:endnote w:type="continuationSeparator" w:id="0">
    <w:p w:rsidR="006F205E" w:rsidRDefault="006F205E"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7B" w:rsidRDefault="00CB677B"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CB677B" w:rsidRPr="00B05010" w:rsidRDefault="00CB677B" w:rsidP="00B05010">
        <w:pPr>
          <w:pStyle w:val="Footer"/>
          <w:jc w:val="right"/>
        </w:pPr>
        <w:proofErr w:type="gramStart"/>
        <w:r w:rsidRPr="009F39F3">
          <w:rPr>
            <w:sz w:val="20"/>
          </w:rPr>
          <w:t>page</w:t>
        </w:r>
        <w:proofErr w:type="gramEnd"/>
        <w:r w:rsidRPr="009F39F3">
          <w:rPr>
            <w:sz w:val="20"/>
          </w:rPr>
          <w:t xml:space="preserve"> </w:t>
        </w:r>
        <w:r w:rsidRPr="009F39F3">
          <w:rPr>
            <w:bCs/>
            <w:sz w:val="20"/>
          </w:rPr>
          <w:fldChar w:fldCharType="begin"/>
        </w:r>
        <w:r w:rsidRPr="009F39F3">
          <w:rPr>
            <w:bCs/>
            <w:sz w:val="20"/>
          </w:rPr>
          <w:instrText xml:space="preserve"> PAGE </w:instrText>
        </w:r>
        <w:r w:rsidRPr="009F39F3">
          <w:rPr>
            <w:bCs/>
            <w:sz w:val="20"/>
          </w:rPr>
          <w:fldChar w:fldCharType="separate"/>
        </w:r>
        <w:r w:rsidR="009A5B10">
          <w:rPr>
            <w:bCs/>
            <w:noProof/>
            <w:sz w:val="20"/>
          </w:rPr>
          <w:t>5</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9A5B10">
          <w:rPr>
            <w:bCs/>
            <w:noProof/>
            <w:sz w:val="20"/>
          </w:rPr>
          <w:t>5</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5E" w:rsidRDefault="006F205E" w:rsidP="00A14DAA">
      <w:pPr>
        <w:spacing w:after="0" w:line="240" w:lineRule="auto"/>
      </w:pPr>
      <w:r>
        <w:separator/>
      </w:r>
    </w:p>
  </w:footnote>
  <w:footnote w:type="continuationSeparator" w:id="0">
    <w:p w:rsidR="006F205E" w:rsidRDefault="006F205E"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77B" w:rsidRDefault="00CB677B"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926B5B"/>
    <w:multiLevelType w:val="hybridMultilevel"/>
    <w:tmpl w:val="AD6CA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09C44AC"/>
    <w:multiLevelType w:val="hybridMultilevel"/>
    <w:tmpl w:val="20ACB532"/>
    <w:lvl w:ilvl="0" w:tplc="B99A00B8">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184120B"/>
    <w:multiLevelType w:val="hybridMultilevel"/>
    <w:tmpl w:val="AF7228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5"/>
  </w:num>
  <w:num w:numId="4">
    <w:abstractNumId w:val="10"/>
  </w:num>
  <w:num w:numId="5">
    <w:abstractNumId w:val="3"/>
  </w:num>
  <w:num w:numId="6">
    <w:abstractNumId w:val="19"/>
  </w:num>
  <w:num w:numId="7">
    <w:abstractNumId w:val="18"/>
  </w:num>
  <w:num w:numId="8">
    <w:abstractNumId w:val="9"/>
  </w:num>
  <w:num w:numId="9">
    <w:abstractNumId w:val="31"/>
  </w:num>
  <w:num w:numId="10">
    <w:abstractNumId w:val="11"/>
  </w:num>
  <w:num w:numId="11">
    <w:abstractNumId w:val="32"/>
  </w:num>
  <w:num w:numId="12">
    <w:abstractNumId w:val="22"/>
  </w:num>
  <w:num w:numId="13">
    <w:abstractNumId w:val="16"/>
  </w:num>
  <w:num w:numId="14">
    <w:abstractNumId w:val="33"/>
  </w:num>
  <w:num w:numId="15">
    <w:abstractNumId w:val="0"/>
  </w:num>
  <w:num w:numId="16">
    <w:abstractNumId w:val="20"/>
  </w:num>
  <w:num w:numId="17">
    <w:abstractNumId w:val="24"/>
  </w:num>
  <w:num w:numId="18">
    <w:abstractNumId w:val="27"/>
  </w:num>
  <w:num w:numId="19">
    <w:abstractNumId w:val="25"/>
  </w:num>
  <w:num w:numId="20">
    <w:abstractNumId w:val="26"/>
  </w:num>
  <w:num w:numId="21">
    <w:abstractNumId w:val="12"/>
  </w:num>
  <w:num w:numId="22">
    <w:abstractNumId w:val="13"/>
  </w:num>
  <w:num w:numId="23">
    <w:abstractNumId w:val="2"/>
  </w:num>
  <w:num w:numId="24">
    <w:abstractNumId w:val="1"/>
  </w:num>
  <w:num w:numId="25">
    <w:abstractNumId w:val="28"/>
  </w:num>
  <w:num w:numId="26">
    <w:abstractNumId w:val="23"/>
  </w:num>
  <w:num w:numId="27">
    <w:abstractNumId w:val="4"/>
  </w:num>
  <w:num w:numId="28">
    <w:abstractNumId w:val="15"/>
  </w:num>
  <w:num w:numId="29">
    <w:abstractNumId w:val="7"/>
  </w:num>
  <w:num w:numId="30">
    <w:abstractNumId w:val="8"/>
  </w:num>
  <w:num w:numId="31">
    <w:abstractNumId w:val="6"/>
  </w:num>
  <w:num w:numId="32">
    <w:abstractNumId w:val="30"/>
  </w:num>
  <w:num w:numId="33">
    <w:abstractNumId w:val="6"/>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AF7"/>
    <w:rsid w:val="00002AB3"/>
    <w:rsid w:val="00006235"/>
    <w:rsid w:val="00012BC8"/>
    <w:rsid w:val="00014378"/>
    <w:rsid w:val="0001791C"/>
    <w:rsid w:val="00021568"/>
    <w:rsid w:val="00021D7E"/>
    <w:rsid w:val="00030676"/>
    <w:rsid w:val="000314C7"/>
    <w:rsid w:val="000346DA"/>
    <w:rsid w:val="00041560"/>
    <w:rsid w:val="00042EA2"/>
    <w:rsid w:val="00043D10"/>
    <w:rsid w:val="000618EE"/>
    <w:rsid w:val="0006277E"/>
    <w:rsid w:val="00062D82"/>
    <w:rsid w:val="00095B91"/>
    <w:rsid w:val="00096E7A"/>
    <w:rsid w:val="00097D3B"/>
    <w:rsid w:val="000A4666"/>
    <w:rsid w:val="000B11CD"/>
    <w:rsid w:val="000B2DFD"/>
    <w:rsid w:val="000B3247"/>
    <w:rsid w:val="000B68BB"/>
    <w:rsid w:val="000C42CC"/>
    <w:rsid w:val="000D13CC"/>
    <w:rsid w:val="000D21A5"/>
    <w:rsid w:val="000D2D37"/>
    <w:rsid w:val="000E042A"/>
    <w:rsid w:val="000E0EA3"/>
    <w:rsid w:val="000E439C"/>
    <w:rsid w:val="000E515F"/>
    <w:rsid w:val="000E5E7C"/>
    <w:rsid w:val="000E601D"/>
    <w:rsid w:val="000F16F5"/>
    <w:rsid w:val="000F45DF"/>
    <w:rsid w:val="000F70F7"/>
    <w:rsid w:val="0010071F"/>
    <w:rsid w:val="00101912"/>
    <w:rsid w:val="00102FDE"/>
    <w:rsid w:val="00103C86"/>
    <w:rsid w:val="00110044"/>
    <w:rsid w:val="0011158C"/>
    <w:rsid w:val="00111B16"/>
    <w:rsid w:val="00115484"/>
    <w:rsid w:val="001164A7"/>
    <w:rsid w:val="00117D5E"/>
    <w:rsid w:val="00120874"/>
    <w:rsid w:val="00121E46"/>
    <w:rsid w:val="00137401"/>
    <w:rsid w:val="00140E28"/>
    <w:rsid w:val="001464AD"/>
    <w:rsid w:val="0015133D"/>
    <w:rsid w:val="0015611B"/>
    <w:rsid w:val="0015628C"/>
    <w:rsid w:val="00156AF0"/>
    <w:rsid w:val="001621A9"/>
    <w:rsid w:val="00162D9B"/>
    <w:rsid w:val="00163B00"/>
    <w:rsid w:val="00165167"/>
    <w:rsid w:val="00166BA3"/>
    <w:rsid w:val="001670E4"/>
    <w:rsid w:val="00170EE2"/>
    <w:rsid w:val="00171B4F"/>
    <w:rsid w:val="0017249D"/>
    <w:rsid w:val="00172EBE"/>
    <w:rsid w:val="00173BFD"/>
    <w:rsid w:val="00177B5B"/>
    <w:rsid w:val="001837C6"/>
    <w:rsid w:val="00185426"/>
    <w:rsid w:val="00185C1E"/>
    <w:rsid w:val="00190512"/>
    <w:rsid w:val="001925C4"/>
    <w:rsid w:val="0019407B"/>
    <w:rsid w:val="001A3435"/>
    <w:rsid w:val="001A6E7F"/>
    <w:rsid w:val="001A7043"/>
    <w:rsid w:val="001B5EF1"/>
    <w:rsid w:val="001B6B67"/>
    <w:rsid w:val="001C2A1B"/>
    <w:rsid w:val="001D2D68"/>
    <w:rsid w:val="001D30AA"/>
    <w:rsid w:val="001D50AC"/>
    <w:rsid w:val="001D5EA5"/>
    <w:rsid w:val="001E055E"/>
    <w:rsid w:val="001E17B2"/>
    <w:rsid w:val="001E2509"/>
    <w:rsid w:val="001E5D1F"/>
    <w:rsid w:val="001F208F"/>
    <w:rsid w:val="001F4A80"/>
    <w:rsid w:val="001F6901"/>
    <w:rsid w:val="00200118"/>
    <w:rsid w:val="00203B32"/>
    <w:rsid w:val="002054BE"/>
    <w:rsid w:val="00207C81"/>
    <w:rsid w:val="00211ED3"/>
    <w:rsid w:val="002127AD"/>
    <w:rsid w:val="0021427E"/>
    <w:rsid w:val="00217B92"/>
    <w:rsid w:val="00217DB2"/>
    <w:rsid w:val="00226702"/>
    <w:rsid w:val="002311F6"/>
    <w:rsid w:val="0023137B"/>
    <w:rsid w:val="0023177A"/>
    <w:rsid w:val="002328DF"/>
    <w:rsid w:val="00234DBB"/>
    <w:rsid w:val="00245921"/>
    <w:rsid w:val="00247B36"/>
    <w:rsid w:val="0025314A"/>
    <w:rsid w:val="00261158"/>
    <w:rsid w:val="00261A95"/>
    <w:rsid w:val="0026401F"/>
    <w:rsid w:val="002648C8"/>
    <w:rsid w:val="00264A04"/>
    <w:rsid w:val="00271666"/>
    <w:rsid w:val="0027168D"/>
    <w:rsid w:val="002733D6"/>
    <w:rsid w:val="00275C6F"/>
    <w:rsid w:val="0027627F"/>
    <w:rsid w:val="00277CA0"/>
    <w:rsid w:val="0028338A"/>
    <w:rsid w:val="00295DF6"/>
    <w:rsid w:val="002A04CE"/>
    <w:rsid w:val="002A0FAD"/>
    <w:rsid w:val="002A1718"/>
    <w:rsid w:val="002B0387"/>
    <w:rsid w:val="002B2DE3"/>
    <w:rsid w:val="002C3BF2"/>
    <w:rsid w:val="002C49EC"/>
    <w:rsid w:val="002C711D"/>
    <w:rsid w:val="002C7D4F"/>
    <w:rsid w:val="002D033F"/>
    <w:rsid w:val="002D3A05"/>
    <w:rsid w:val="002D4338"/>
    <w:rsid w:val="002F2319"/>
    <w:rsid w:val="002F6037"/>
    <w:rsid w:val="002F7A7E"/>
    <w:rsid w:val="00302949"/>
    <w:rsid w:val="00302FA2"/>
    <w:rsid w:val="00304306"/>
    <w:rsid w:val="003079B4"/>
    <w:rsid w:val="00311E80"/>
    <w:rsid w:val="00313F27"/>
    <w:rsid w:val="003160CE"/>
    <w:rsid w:val="0032573B"/>
    <w:rsid w:val="00327821"/>
    <w:rsid w:val="003309EB"/>
    <w:rsid w:val="00331582"/>
    <w:rsid w:val="00331ACB"/>
    <w:rsid w:val="003335FA"/>
    <w:rsid w:val="003525F3"/>
    <w:rsid w:val="0036191B"/>
    <w:rsid w:val="0036350E"/>
    <w:rsid w:val="00364ECA"/>
    <w:rsid w:val="0037029B"/>
    <w:rsid w:val="00386E02"/>
    <w:rsid w:val="003924B4"/>
    <w:rsid w:val="00395D84"/>
    <w:rsid w:val="003A04C8"/>
    <w:rsid w:val="003A27ED"/>
    <w:rsid w:val="003A3C9C"/>
    <w:rsid w:val="003B678F"/>
    <w:rsid w:val="003B6AA7"/>
    <w:rsid w:val="003C055A"/>
    <w:rsid w:val="003C7F1D"/>
    <w:rsid w:val="003D04C9"/>
    <w:rsid w:val="003D1547"/>
    <w:rsid w:val="003D397E"/>
    <w:rsid w:val="003D44E1"/>
    <w:rsid w:val="003E0B9E"/>
    <w:rsid w:val="003E67E3"/>
    <w:rsid w:val="003E7EBB"/>
    <w:rsid w:val="00400CA2"/>
    <w:rsid w:val="00412224"/>
    <w:rsid w:val="00415E9F"/>
    <w:rsid w:val="00421BD7"/>
    <w:rsid w:val="00424115"/>
    <w:rsid w:val="004272A6"/>
    <w:rsid w:val="0043159A"/>
    <w:rsid w:val="00453614"/>
    <w:rsid w:val="00455AB0"/>
    <w:rsid w:val="00460441"/>
    <w:rsid w:val="0046209A"/>
    <w:rsid w:val="004712F1"/>
    <w:rsid w:val="0047170E"/>
    <w:rsid w:val="004718C5"/>
    <w:rsid w:val="004831B5"/>
    <w:rsid w:val="00491D29"/>
    <w:rsid w:val="004933E1"/>
    <w:rsid w:val="0049453C"/>
    <w:rsid w:val="00494C26"/>
    <w:rsid w:val="00495E0D"/>
    <w:rsid w:val="004A2F68"/>
    <w:rsid w:val="004A58A0"/>
    <w:rsid w:val="004B05F1"/>
    <w:rsid w:val="004B339F"/>
    <w:rsid w:val="004B375C"/>
    <w:rsid w:val="004B6097"/>
    <w:rsid w:val="004C44F6"/>
    <w:rsid w:val="004C4972"/>
    <w:rsid w:val="004C4E67"/>
    <w:rsid w:val="004D08EF"/>
    <w:rsid w:val="004D3C8C"/>
    <w:rsid w:val="004D60D1"/>
    <w:rsid w:val="004E2D68"/>
    <w:rsid w:val="004E7D67"/>
    <w:rsid w:val="004F5923"/>
    <w:rsid w:val="004F5E48"/>
    <w:rsid w:val="004F6C6A"/>
    <w:rsid w:val="00513C86"/>
    <w:rsid w:val="00516F70"/>
    <w:rsid w:val="00523A6C"/>
    <w:rsid w:val="00527AE4"/>
    <w:rsid w:val="0053029A"/>
    <w:rsid w:val="00532692"/>
    <w:rsid w:val="00542AE0"/>
    <w:rsid w:val="00543417"/>
    <w:rsid w:val="00546061"/>
    <w:rsid w:val="00547C42"/>
    <w:rsid w:val="005539AB"/>
    <w:rsid w:val="005555DA"/>
    <w:rsid w:val="00557A2F"/>
    <w:rsid w:val="00562ED4"/>
    <w:rsid w:val="00564A4A"/>
    <w:rsid w:val="00571B6E"/>
    <w:rsid w:val="00580894"/>
    <w:rsid w:val="0058197E"/>
    <w:rsid w:val="00584AB2"/>
    <w:rsid w:val="00586CE3"/>
    <w:rsid w:val="00590113"/>
    <w:rsid w:val="00591967"/>
    <w:rsid w:val="0059218A"/>
    <w:rsid w:val="00596E9C"/>
    <w:rsid w:val="005A5C5B"/>
    <w:rsid w:val="005A5DA8"/>
    <w:rsid w:val="005A66D3"/>
    <w:rsid w:val="005A6C95"/>
    <w:rsid w:val="005B21ED"/>
    <w:rsid w:val="005B2C46"/>
    <w:rsid w:val="005B5DF6"/>
    <w:rsid w:val="005B6A45"/>
    <w:rsid w:val="005B7974"/>
    <w:rsid w:val="005C24DA"/>
    <w:rsid w:val="005C2E78"/>
    <w:rsid w:val="005C63FF"/>
    <w:rsid w:val="005D291E"/>
    <w:rsid w:val="005E3029"/>
    <w:rsid w:val="005E37D7"/>
    <w:rsid w:val="005E4454"/>
    <w:rsid w:val="005F0494"/>
    <w:rsid w:val="005F0CAD"/>
    <w:rsid w:val="005F30E6"/>
    <w:rsid w:val="005F5CC0"/>
    <w:rsid w:val="005F664D"/>
    <w:rsid w:val="006005C8"/>
    <w:rsid w:val="00605387"/>
    <w:rsid w:val="006065C1"/>
    <w:rsid w:val="00610C33"/>
    <w:rsid w:val="00610EDC"/>
    <w:rsid w:val="00612619"/>
    <w:rsid w:val="00614BC4"/>
    <w:rsid w:val="00625DB5"/>
    <w:rsid w:val="00626063"/>
    <w:rsid w:val="00632EDA"/>
    <w:rsid w:val="006331D4"/>
    <w:rsid w:val="00633CC8"/>
    <w:rsid w:val="0063457A"/>
    <w:rsid w:val="00635F6D"/>
    <w:rsid w:val="006368F3"/>
    <w:rsid w:val="00637962"/>
    <w:rsid w:val="00640963"/>
    <w:rsid w:val="006518F8"/>
    <w:rsid w:val="00654716"/>
    <w:rsid w:val="00654FA8"/>
    <w:rsid w:val="00656A6F"/>
    <w:rsid w:val="006575F9"/>
    <w:rsid w:val="0065773B"/>
    <w:rsid w:val="00661691"/>
    <w:rsid w:val="006640E2"/>
    <w:rsid w:val="00675315"/>
    <w:rsid w:val="00680132"/>
    <w:rsid w:val="00681970"/>
    <w:rsid w:val="00682085"/>
    <w:rsid w:val="00685275"/>
    <w:rsid w:val="00685933"/>
    <w:rsid w:val="00685A17"/>
    <w:rsid w:val="006A31B7"/>
    <w:rsid w:val="006A3375"/>
    <w:rsid w:val="006B0983"/>
    <w:rsid w:val="006B1B68"/>
    <w:rsid w:val="006B569E"/>
    <w:rsid w:val="006C0715"/>
    <w:rsid w:val="006C098D"/>
    <w:rsid w:val="006C1B87"/>
    <w:rsid w:val="006C4DB5"/>
    <w:rsid w:val="006D0C56"/>
    <w:rsid w:val="006D2CEC"/>
    <w:rsid w:val="006D6D91"/>
    <w:rsid w:val="006E2DDA"/>
    <w:rsid w:val="006E4F9A"/>
    <w:rsid w:val="006E5F99"/>
    <w:rsid w:val="006F1EBE"/>
    <w:rsid w:val="006F205E"/>
    <w:rsid w:val="006F2C1C"/>
    <w:rsid w:val="006F40C2"/>
    <w:rsid w:val="006F4580"/>
    <w:rsid w:val="006F7194"/>
    <w:rsid w:val="00705FC5"/>
    <w:rsid w:val="00706126"/>
    <w:rsid w:val="00706732"/>
    <w:rsid w:val="00707379"/>
    <w:rsid w:val="00711C57"/>
    <w:rsid w:val="0071268D"/>
    <w:rsid w:val="00725396"/>
    <w:rsid w:val="007376EE"/>
    <w:rsid w:val="0074023D"/>
    <w:rsid w:val="007520CB"/>
    <w:rsid w:val="00752FAB"/>
    <w:rsid w:val="007545B3"/>
    <w:rsid w:val="00756C9D"/>
    <w:rsid w:val="0076169C"/>
    <w:rsid w:val="0077701A"/>
    <w:rsid w:val="00783930"/>
    <w:rsid w:val="00784C4F"/>
    <w:rsid w:val="0079601B"/>
    <w:rsid w:val="007976EB"/>
    <w:rsid w:val="007B3D47"/>
    <w:rsid w:val="007C018C"/>
    <w:rsid w:val="007C1CDF"/>
    <w:rsid w:val="007C4D9C"/>
    <w:rsid w:val="007C7B57"/>
    <w:rsid w:val="007D578E"/>
    <w:rsid w:val="007D58FD"/>
    <w:rsid w:val="007D5E93"/>
    <w:rsid w:val="007D793B"/>
    <w:rsid w:val="007E4209"/>
    <w:rsid w:val="007F3787"/>
    <w:rsid w:val="007F5400"/>
    <w:rsid w:val="007F65BE"/>
    <w:rsid w:val="007F6E0B"/>
    <w:rsid w:val="00802096"/>
    <w:rsid w:val="00811B18"/>
    <w:rsid w:val="00812828"/>
    <w:rsid w:val="008128D7"/>
    <w:rsid w:val="0081761D"/>
    <w:rsid w:val="00831813"/>
    <w:rsid w:val="00833D98"/>
    <w:rsid w:val="00837378"/>
    <w:rsid w:val="00845419"/>
    <w:rsid w:val="00846955"/>
    <w:rsid w:val="00847311"/>
    <w:rsid w:val="00850233"/>
    <w:rsid w:val="00850FD5"/>
    <w:rsid w:val="00851C5B"/>
    <w:rsid w:val="00854313"/>
    <w:rsid w:val="00854A88"/>
    <w:rsid w:val="0085719D"/>
    <w:rsid w:val="00860011"/>
    <w:rsid w:val="00862300"/>
    <w:rsid w:val="00865A81"/>
    <w:rsid w:val="00871D1B"/>
    <w:rsid w:val="00877204"/>
    <w:rsid w:val="00880750"/>
    <w:rsid w:val="00882571"/>
    <w:rsid w:val="008917EA"/>
    <w:rsid w:val="00893371"/>
    <w:rsid w:val="008969AD"/>
    <w:rsid w:val="008A3E89"/>
    <w:rsid w:val="008A404D"/>
    <w:rsid w:val="008A7988"/>
    <w:rsid w:val="008B1230"/>
    <w:rsid w:val="008B1D57"/>
    <w:rsid w:val="008B4903"/>
    <w:rsid w:val="008B4EAC"/>
    <w:rsid w:val="008C0456"/>
    <w:rsid w:val="008C0BB9"/>
    <w:rsid w:val="008C18A4"/>
    <w:rsid w:val="008C207B"/>
    <w:rsid w:val="008C73F7"/>
    <w:rsid w:val="008D4D4A"/>
    <w:rsid w:val="008D5CD7"/>
    <w:rsid w:val="008F168C"/>
    <w:rsid w:val="008F1CA9"/>
    <w:rsid w:val="008F2399"/>
    <w:rsid w:val="008F3533"/>
    <w:rsid w:val="008F7F5E"/>
    <w:rsid w:val="009016C6"/>
    <w:rsid w:val="00902B9D"/>
    <w:rsid w:val="009043F5"/>
    <w:rsid w:val="0090620A"/>
    <w:rsid w:val="0091239A"/>
    <w:rsid w:val="00925C6F"/>
    <w:rsid w:val="00926C8C"/>
    <w:rsid w:val="00927D99"/>
    <w:rsid w:val="0093039A"/>
    <w:rsid w:val="009312D5"/>
    <w:rsid w:val="009326B0"/>
    <w:rsid w:val="0093275B"/>
    <w:rsid w:val="009338D7"/>
    <w:rsid w:val="009341E4"/>
    <w:rsid w:val="0093550D"/>
    <w:rsid w:val="009369CC"/>
    <w:rsid w:val="00936A2F"/>
    <w:rsid w:val="00937DB2"/>
    <w:rsid w:val="00940DD5"/>
    <w:rsid w:val="00944226"/>
    <w:rsid w:val="00951001"/>
    <w:rsid w:val="009510C5"/>
    <w:rsid w:val="00952ED4"/>
    <w:rsid w:val="00953B17"/>
    <w:rsid w:val="00954237"/>
    <w:rsid w:val="00956DDD"/>
    <w:rsid w:val="00963315"/>
    <w:rsid w:val="0096479D"/>
    <w:rsid w:val="00964D5B"/>
    <w:rsid w:val="00965679"/>
    <w:rsid w:val="0098036C"/>
    <w:rsid w:val="00980570"/>
    <w:rsid w:val="00981E70"/>
    <w:rsid w:val="00982709"/>
    <w:rsid w:val="00982FCB"/>
    <w:rsid w:val="00984F23"/>
    <w:rsid w:val="009856F6"/>
    <w:rsid w:val="0099214C"/>
    <w:rsid w:val="00992496"/>
    <w:rsid w:val="00992C92"/>
    <w:rsid w:val="009963A9"/>
    <w:rsid w:val="009A068F"/>
    <w:rsid w:val="009A4177"/>
    <w:rsid w:val="009A5B10"/>
    <w:rsid w:val="009B1243"/>
    <w:rsid w:val="009B375A"/>
    <w:rsid w:val="009B7FA8"/>
    <w:rsid w:val="009C2BDB"/>
    <w:rsid w:val="009C4C41"/>
    <w:rsid w:val="009F29F5"/>
    <w:rsid w:val="009F422C"/>
    <w:rsid w:val="009F6F75"/>
    <w:rsid w:val="009F728C"/>
    <w:rsid w:val="00A012EB"/>
    <w:rsid w:val="00A013CB"/>
    <w:rsid w:val="00A03FD2"/>
    <w:rsid w:val="00A0527B"/>
    <w:rsid w:val="00A14DAA"/>
    <w:rsid w:val="00A26809"/>
    <w:rsid w:val="00A308F6"/>
    <w:rsid w:val="00A40501"/>
    <w:rsid w:val="00A40B9A"/>
    <w:rsid w:val="00A4692E"/>
    <w:rsid w:val="00A5261E"/>
    <w:rsid w:val="00A52A60"/>
    <w:rsid w:val="00A53052"/>
    <w:rsid w:val="00A5560D"/>
    <w:rsid w:val="00A572E3"/>
    <w:rsid w:val="00A64CE8"/>
    <w:rsid w:val="00A72149"/>
    <w:rsid w:val="00A74C18"/>
    <w:rsid w:val="00A857FC"/>
    <w:rsid w:val="00A90091"/>
    <w:rsid w:val="00A91B63"/>
    <w:rsid w:val="00A92687"/>
    <w:rsid w:val="00AA1B4F"/>
    <w:rsid w:val="00AA227F"/>
    <w:rsid w:val="00AB550F"/>
    <w:rsid w:val="00AB74DD"/>
    <w:rsid w:val="00AC2AEE"/>
    <w:rsid w:val="00AC2CD9"/>
    <w:rsid w:val="00AC5862"/>
    <w:rsid w:val="00AD1DA1"/>
    <w:rsid w:val="00AD613A"/>
    <w:rsid w:val="00AD7D00"/>
    <w:rsid w:val="00AE4486"/>
    <w:rsid w:val="00AF65B1"/>
    <w:rsid w:val="00AF6CDD"/>
    <w:rsid w:val="00B00AE1"/>
    <w:rsid w:val="00B05010"/>
    <w:rsid w:val="00B0560C"/>
    <w:rsid w:val="00B05F0D"/>
    <w:rsid w:val="00B06636"/>
    <w:rsid w:val="00B06A66"/>
    <w:rsid w:val="00B1258D"/>
    <w:rsid w:val="00B12A9C"/>
    <w:rsid w:val="00B16AB2"/>
    <w:rsid w:val="00B27528"/>
    <w:rsid w:val="00B42B44"/>
    <w:rsid w:val="00B44D92"/>
    <w:rsid w:val="00B50F78"/>
    <w:rsid w:val="00B52EE5"/>
    <w:rsid w:val="00B53C03"/>
    <w:rsid w:val="00B54126"/>
    <w:rsid w:val="00B569EB"/>
    <w:rsid w:val="00B57F54"/>
    <w:rsid w:val="00B60D7A"/>
    <w:rsid w:val="00B61910"/>
    <w:rsid w:val="00B6376F"/>
    <w:rsid w:val="00B63823"/>
    <w:rsid w:val="00B6432B"/>
    <w:rsid w:val="00B76917"/>
    <w:rsid w:val="00B86154"/>
    <w:rsid w:val="00B914A5"/>
    <w:rsid w:val="00B92A3C"/>
    <w:rsid w:val="00B9517F"/>
    <w:rsid w:val="00BA30D1"/>
    <w:rsid w:val="00BA6BC2"/>
    <w:rsid w:val="00BA7F9C"/>
    <w:rsid w:val="00BC697F"/>
    <w:rsid w:val="00BD0D28"/>
    <w:rsid w:val="00BD12CA"/>
    <w:rsid w:val="00BD273B"/>
    <w:rsid w:val="00BD27EA"/>
    <w:rsid w:val="00BD4E7F"/>
    <w:rsid w:val="00BF115E"/>
    <w:rsid w:val="00BF27D4"/>
    <w:rsid w:val="00BF59E0"/>
    <w:rsid w:val="00BF7EDD"/>
    <w:rsid w:val="00C02604"/>
    <w:rsid w:val="00C066B9"/>
    <w:rsid w:val="00C12076"/>
    <w:rsid w:val="00C12AED"/>
    <w:rsid w:val="00C12E81"/>
    <w:rsid w:val="00C1319F"/>
    <w:rsid w:val="00C22261"/>
    <w:rsid w:val="00C304EF"/>
    <w:rsid w:val="00C31094"/>
    <w:rsid w:val="00C45176"/>
    <w:rsid w:val="00C5296A"/>
    <w:rsid w:val="00C53EFA"/>
    <w:rsid w:val="00C5426B"/>
    <w:rsid w:val="00C54C0D"/>
    <w:rsid w:val="00C54F09"/>
    <w:rsid w:val="00C564DA"/>
    <w:rsid w:val="00C67C2C"/>
    <w:rsid w:val="00C830A4"/>
    <w:rsid w:val="00C83728"/>
    <w:rsid w:val="00C86469"/>
    <w:rsid w:val="00CA1CAA"/>
    <w:rsid w:val="00CA3609"/>
    <w:rsid w:val="00CA64AB"/>
    <w:rsid w:val="00CB677B"/>
    <w:rsid w:val="00CC0D62"/>
    <w:rsid w:val="00CC4CF4"/>
    <w:rsid w:val="00CD7012"/>
    <w:rsid w:val="00CD727F"/>
    <w:rsid w:val="00CD7657"/>
    <w:rsid w:val="00CE1B81"/>
    <w:rsid w:val="00CE25EB"/>
    <w:rsid w:val="00CF4585"/>
    <w:rsid w:val="00CF4B76"/>
    <w:rsid w:val="00CF7069"/>
    <w:rsid w:val="00CF7194"/>
    <w:rsid w:val="00CF78DC"/>
    <w:rsid w:val="00D065F3"/>
    <w:rsid w:val="00D072A4"/>
    <w:rsid w:val="00D11AD6"/>
    <w:rsid w:val="00D127E7"/>
    <w:rsid w:val="00D147B5"/>
    <w:rsid w:val="00D24DAD"/>
    <w:rsid w:val="00D308C3"/>
    <w:rsid w:val="00D31557"/>
    <w:rsid w:val="00D41CEB"/>
    <w:rsid w:val="00D45D35"/>
    <w:rsid w:val="00D469F9"/>
    <w:rsid w:val="00D50CB3"/>
    <w:rsid w:val="00D51C92"/>
    <w:rsid w:val="00D51E27"/>
    <w:rsid w:val="00D52237"/>
    <w:rsid w:val="00D52CCF"/>
    <w:rsid w:val="00D558D8"/>
    <w:rsid w:val="00D5725F"/>
    <w:rsid w:val="00D57DE3"/>
    <w:rsid w:val="00D614B3"/>
    <w:rsid w:val="00D712C8"/>
    <w:rsid w:val="00D725CA"/>
    <w:rsid w:val="00D74BE9"/>
    <w:rsid w:val="00D8673F"/>
    <w:rsid w:val="00D904DF"/>
    <w:rsid w:val="00D927BA"/>
    <w:rsid w:val="00D9628E"/>
    <w:rsid w:val="00DA3A4F"/>
    <w:rsid w:val="00DB67A1"/>
    <w:rsid w:val="00DB742F"/>
    <w:rsid w:val="00DC577D"/>
    <w:rsid w:val="00DC6933"/>
    <w:rsid w:val="00DC6C9F"/>
    <w:rsid w:val="00DD2D1C"/>
    <w:rsid w:val="00DD6BFA"/>
    <w:rsid w:val="00DD7C3F"/>
    <w:rsid w:val="00DF0248"/>
    <w:rsid w:val="00DF2C69"/>
    <w:rsid w:val="00DF2F95"/>
    <w:rsid w:val="00DF3702"/>
    <w:rsid w:val="00DF5748"/>
    <w:rsid w:val="00DF6CFB"/>
    <w:rsid w:val="00E016CF"/>
    <w:rsid w:val="00E01EEF"/>
    <w:rsid w:val="00E070E6"/>
    <w:rsid w:val="00E214FA"/>
    <w:rsid w:val="00E218E8"/>
    <w:rsid w:val="00E22314"/>
    <w:rsid w:val="00E241FA"/>
    <w:rsid w:val="00E31086"/>
    <w:rsid w:val="00E4162B"/>
    <w:rsid w:val="00E417D2"/>
    <w:rsid w:val="00E5342D"/>
    <w:rsid w:val="00E6027B"/>
    <w:rsid w:val="00E606EF"/>
    <w:rsid w:val="00E60CB3"/>
    <w:rsid w:val="00E6425E"/>
    <w:rsid w:val="00E670A3"/>
    <w:rsid w:val="00E7166C"/>
    <w:rsid w:val="00E7345F"/>
    <w:rsid w:val="00E74911"/>
    <w:rsid w:val="00E75C00"/>
    <w:rsid w:val="00E808B2"/>
    <w:rsid w:val="00E809FF"/>
    <w:rsid w:val="00E82668"/>
    <w:rsid w:val="00E84884"/>
    <w:rsid w:val="00E874D7"/>
    <w:rsid w:val="00E92B0F"/>
    <w:rsid w:val="00E92D5C"/>
    <w:rsid w:val="00EA46B2"/>
    <w:rsid w:val="00EB030A"/>
    <w:rsid w:val="00EB1869"/>
    <w:rsid w:val="00EB3547"/>
    <w:rsid w:val="00EB4E70"/>
    <w:rsid w:val="00EB5235"/>
    <w:rsid w:val="00EB7DF9"/>
    <w:rsid w:val="00EC7ECB"/>
    <w:rsid w:val="00ED3419"/>
    <w:rsid w:val="00EE0981"/>
    <w:rsid w:val="00EE1DF2"/>
    <w:rsid w:val="00EE2211"/>
    <w:rsid w:val="00EE22AE"/>
    <w:rsid w:val="00EE2F66"/>
    <w:rsid w:val="00EE4F21"/>
    <w:rsid w:val="00EE5FAA"/>
    <w:rsid w:val="00F02667"/>
    <w:rsid w:val="00F04B82"/>
    <w:rsid w:val="00F04D30"/>
    <w:rsid w:val="00F04F98"/>
    <w:rsid w:val="00F10EC9"/>
    <w:rsid w:val="00F15336"/>
    <w:rsid w:val="00F17E17"/>
    <w:rsid w:val="00F25688"/>
    <w:rsid w:val="00F2624E"/>
    <w:rsid w:val="00F27F43"/>
    <w:rsid w:val="00F3382B"/>
    <w:rsid w:val="00F3504F"/>
    <w:rsid w:val="00F40D52"/>
    <w:rsid w:val="00F41B95"/>
    <w:rsid w:val="00F52EC0"/>
    <w:rsid w:val="00F66214"/>
    <w:rsid w:val="00F77125"/>
    <w:rsid w:val="00F7768D"/>
    <w:rsid w:val="00F818B6"/>
    <w:rsid w:val="00F82B6D"/>
    <w:rsid w:val="00F87E41"/>
    <w:rsid w:val="00F91DB2"/>
    <w:rsid w:val="00FA1198"/>
    <w:rsid w:val="00FA2699"/>
    <w:rsid w:val="00FA426C"/>
    <w:rsid w:val="00FA48B6"/>
    <w:rsid w:val="00FB13B3"/>
    <w:rsid w:val="00FC3433"/>
    <w:rsid w:val="00FC516B"/>
    <w:rsid w:val="00FD4743"/>
    <w:rsid w:val="00FE023F"/>
    <w:rsid w:val="00FE1E4D"/>
    <w:rsid w:val="00FE665F"/>
    <w:rsid w:val="00FF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114834454">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40584578">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F712-8DDC-4AA4-92F7-C913BDFD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dc:creator>
  <cp:keywords/>
  <dc:description/>
  <cp:lastModifiedBy>Emile Paulsen</cp:lastModifiedBy>
  <cp:revision>3</cp:revision>
  <cp:lastPrinted>2019-05-03T11:28:00Z</cp:lastPrinted>
  <dcterms:created xsi:type="dcterms:W3CDTF">2019-08-23T07:39:00Z</dcterms:created>
  <dcterms:modified xsi:type="dcterms:W3CDTF">2019-08-23T07:52:00Z</dcterms:modified>
</cp:coreProperties>
</file>