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E8" w:rsidRPr="00A64CE8" w:rsidRDefault="00491D29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noProof/>
          <w:lang w:eastAsia="en-ZA"/>
        </w:rPr>
        <w:drawing>
          <wp:anchor distT="0" distB="0" distL="114300" distR="114300" simplePos="0" relativeHeight="251663360" behindDoc="0" locked="0" layoutInCell="1" allowOverlap="1" wp14:anchorId="2ACB631E" wp14:editId="57A64EEA">
            <wp:simplePos x="0" y="0"/>
            <wp:positionH relativeFrom="column">
              <wp:posOffset>19314</wp:posOffset>
            </wp:positionH>
            <wp:positionV relativeFrom="paragraph">
              <wp:posOffset>16510</wp:posOffset>
            </wp:positionV>
            <wp:extent cx="931545" cy="931545"/>
            <wp:effectExtent l="0" t="0" r="1905" b="1905"/>
            <wp:wrapThrough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A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D91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South African Council for the Architectural Profession</w:t>
      </w:r>
    </w:p>
    <w:p w:rsidR="006D6D91" w:rsidRPr="000E515F" w:rsidRDefault="006D6D91" w:rsidP="00491D29">
      <w:pPr>
        <w:spacing w:after="0" w:line="240" w:lineRule="auto"/>
        <w:ind w:left="1843"/>
        <w:contextualSpacing/>
        <w:rPr>
          <w:sz w:val="16"/>
        </w:rPr>
      </w:pPr>
    </w:p>
    <w:p w:rsidR="006D6D91" w:rsidRDefault="006D6D91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</w:pPr>
      <w:r w:rsidRPr="006D6D91"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PROF</w:t>
      </w:r>
      <w:r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E</w:t>
      </w:r>
      <w:r w:rsidRPr="003E67E3"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SSI</w:t>
      </w:r>
      <w:r>
        <w:rPr>
          <w:rFonts w:ascii="Century Gothic" w:hAnsi="Century Gothic"/>
          <w:b/>
          <w:bCs/>
          <w:color w:val="7F7F7F" w:themeColor="text1" w:themeTint="80"/>
          <w:spacing w:val="40"/>
          <w:sz w:val="24"/>
          <w:szCs w:val="25"/>
        </w:rPr>
        <w:t>ONAL PRACTICE EXAMINATION</w:t>
      </w:r>
    </w:p>
    <w:p w:rsidR="006D6D91" w:rsidRPr="006D6D91" w:rsidRDefault="009B76FA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25 MARCH 2020</w:t>
      </w:r>
    </w:p>
    <w:p w:rsidR="006D6D91" w:rsidRPr="000E515F" w:rsidRDefault="006D6D91" w:rsidP="00491D29">
      <w:pPr>
        <w:spacing w:after="0" w:line="240" w:lineRule="auto"/>
        <w:ind w:left="1843"/>
        <w:contextualSpacing/>
        <w:rPr>
          <w:sz w:val="16"/>
        </w:rPr>
      </w:pPr>
    </w:p>
    <w:p w:rsidR="006D6D91" w:rsidRPr="006D6D91" w:rsidRDefault="00771AE3" w:rsidP="00491D29">
      <w:pPr>
        <w:spacing w:after="0" w:line="240" w:lineRule="auto"/>
        <w:ind w:left="1843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 w:val="28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 w:val="28"/>
          <w:szCs w:val="25"/>
        </w:rPr>
        <w:t>PAPER 1</w:t>
      </w:r>
    </w:p>
    <w:p w:rsidR="006D6D91" w:rsidRDefault="006D6D91" w:rsidP="00E44DEF">
      <w:pPr>
        <w:pBdr>
          <w:bottom w:val="single" w:sz="8" w:space="1" w:color="7F7F7F" w:themeColor="text1" w:themeTint="80"/>
        </w:pBdr>
        <w:spacing w:after="0" w:line="240" w:lineRule="auto"/>
        <w:contextualSpacing/>
        <w:jc w:val="both"/>
      </w:pPr>
    </w:p>
    <w:p w:rsidR="00952ED4" w:rsidRDefault="00952ED4" w:rsidP="00415E9F">
      <w:pPr>
        <w:spacing w:after="0" w:line="240" w:lineRule="auto"/>
        <w:contextualSpacing/>
        <w:jc w:val="both"/>
      </w:pPr>
    </w:p>
    <w:p w:rsidR="00F84137" w:rsidRDefault="003E67E3" w:rsidP="0039454E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>This is closed book paper</w:t>
      </w:r>
      <w:r w:rsidR="00F84137">
        <w:t xml:space="preserve">. </w:t>
      </w:r>
    </w:p>
    <w:p w:rsidR="003E67E3" w:rsidRPr="00952ED4" w:rsidRDefault="00F84137" w:rsidP="003E67E3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>
        <w:t>C</w:t>
      </w:r>
      <w:r w:rsidR="003E67E3" w:rsidRPr="00952ED4">
        <w:t>andidates must answer all questions.</w:t>
      </w:r>
    </w:p>
    <w:p w:rsidR="003E67E3" w:rsidRPr="00952ED4" w:rsidRDefault="003E67E3" w:rsidP="003E67E3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>Total marks for paper 1</w:t>
      </w:r>
      <w:r w:rsidRPr="00952ED4">
        <w:tab/>
      </w:r>
      <w:r w:rsidRPr="00952ED4">
        <w:tab/>
        <w:t>–</w:t>
      </w:r>
      <w:r w:rsidRPr="00952ED4">
        <w:tab/>
      </w:r>
      <w:r w:rsidR="006B433A">
        <w:rPr>
          <w:b/>
        </w:rPr>
        <w:t>150</w:t>
      </w:r>
      <w:r w:rsidRPr="00952ED4">
        <w:rPr>
          <w:b/>
        </w:rPr>
        <w:t xml:space="preserve"> marks</w:t>
      </w:r>
    </w:p>
    <w:p w:rsidR="003E67E3" w:rsidRPr="00952ED4" w:rsidRDefault="003E67E3" w:rsidP="00415E9F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>Time allowed for paper 1</w:t>
      </w:r>
      <w:r w:rsidRPr="00952ED4">
        <w:tab/>
      </w:r>
      <w:r w:rsidRPr="00952ED4">
        <w:tab/>
        <w:t>–</w:t>
      </w:r>
      <w:r w:rsidRPr="00952ED4">
        <w:tab/>
      </w:r>
      <w:r w:rsidRPr="00952ED4">
        <w:rPr>
          <w:b/>
        </w:rPr>
        <w:t>3 hours</w:t>
      </w:r>
    </w:p>
    <w:p w:rsidR="003E67E3" w:rsidRPr="00952ED4" w:rsidRDefault="003E67E3" w:rsidP="00415E9F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 xml:space="preserve">Pass mark </w:t>
      </w:r>
      <w:r w:rsidRPr="00952ED4">
        <w:tab/>
      </w:r>
      <w:r w:rsidRPr="00952ED4">
        <w:tab/>
      </w:r>
      <w:r w:rsidRPr="00952ED4">
        <w:tab/>
      </w:r>
      <w:r w:rsidRPr="00952ED4">
        <w:tab/>
      </w:r>
      <w:r w:rsidRPr="00952ED4">
        <w:tab/>
      </w:r>
      <w:r w:rsidRPr="00952ED4">
        <w:tab/>
        <w:t>–</w:t>
      </w:r>
      <w:r w:rsidRPr="00952ED4">
        <w:tab/>
      </w:r>
      <w:r w:rsidRPr="00952ED4">
        <w:rPr>
          <w:b/>
        </w:rPr>
        <w:t>55%</w:t>
      </w:r>
      <w:r w:rsidRPr="00952ED4">
        <w:t xml:space="preserve"> in either paper, </w:t>
      </w:r>
      <w:r w:rsidR="00952ED4" w:rsidRPr="00952ED4">
        <w:t>and</w:t>
      </w:r>
      <w:r w:rsidRPr="00952ED4">
        <w:t xml:space="preserve"> an average of </w:t>
      </w:r>
      <w:r w:rsidRPr="00952ED4">
        <w:rPr>
          <w:b/>
        </w:rPr>
        <w:t>60%</w:t>
      </w:r>
      <w:r w:rsidRPr="00952ED4">
        <w:t xml:space="preserve"> for the two papers combined</w:t>
      </w:r>
    </w:p>
    <w:p w:rsidR="003E67E3" w:rsidRPr="00952ED4" w:rsidRDefault="003E67E3" w:rsidP="003E67E3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 w:rsidRPr="00952ED4">
        <w:t xml:space="preserve">Please ensure that each exam book that you use displays your correct </w:t>
      </w:r>
      <w:r w:rsidRPr="00952ED4">
        <w:rPr>
          <w:b/>
        </w:rPr>
        <w:t>EXAMINATION NUMBER</w:t>
      </w:r>
      <w:r w:rsidR="00491D29">
        <w:t xml:space="preserve"> for identification purposes.</w:t>
      </w:r>
    </w:p>
    <w:p w:rsidR="00952ED4" w:rsidRPr="00952ED4" w:rsidRDefault="00F84137" w:rsidP="0039454E">
      <w:pPr>
        <w:pStyle w:val="ListParagraph"/>
        <w:numPr>
          <w:ilvl w:val="0"/>
          <w:numId w:val="30"/>
        </w:numPr>
        <w:spacing w:after="0" w:line="240" w:lineRule="auto"/>
        <w:ind w:left="284" w:hanging="284"/>
        <w:jc w:val="both"/>
      </w:pPr>
      <w:r>
        <w:t>N</w:t>
      </w:r>
      <w:r w:rsidRPr="00952ED4">
        <w:t>o refe</w:t>
      </w:r>
      <w:r>
        <w:t xml:space="preserve">rence material, </w:t>
      </w:r>
      <w:r w:rsidR="00952ED4" w:rsidRPr="00952ED4">
        <w:t>cell phones, programmable calculators, laptops and/or other electronic equipment will be per</w:t>
      </w:r>
      <w:r w:rsidR="00491D29">
        <w:t>mitted in the examination room.</w:t>
      </w:r>
    </w:p>
    <w:p w:rsidR="00791562" w:rsidRPr="00791562" w:rsidRDefault="00791562" w:rsidP="00415E9F">
      <w:pPr>
        <w:spacing w:after="0" w:line="240" w:lineRule="auto"/>
        <w:contextualSpacing/>
        <w:jc w:val="both"/>
      </w:pPr>
    </w:p>
    <w:p w:rsidR="00EB7DF9" w:rsidRPr="008F2399" w:rsidRDefault="00EB7DF9" w:rsidP="00E44DEF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 w:rsidRPr="008F2399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1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AF6CDD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25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EB7DF9" w:rsidRDefault="00EB7DF9" w:rsidP="00415E9F">
      <w:pPr>
        <w:spacing w:after="0" w:line="240" w:lineRule="auto"/>
        <w:contextualSpacing/>
        <w:jc w:val="both"/>
      </w:pPr>
    </w:p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  <w:gridCol w:w="573"/>
      </w:tblGrid>
      <w:tr w:rsidR="00B71779" w:rsidTr="0052098C">
        <w:tc>
          <w:tcPr>
            <w:tcW w:w="704" w:type="dxa"/>
          </w:tcPr>
          <w:p w:rsidR="00B71779" w:rsidRDefault="00B71779" w:rsidP="00270915">
            <w:pPr>
              <w:contextualSpacing/>
            </w:pPr>
            <w:r>
              <w:t>1.1</w:t>
            </w:r>
          </w:p>
        </w:tc>
        <w:tc>
          <w:tcPr>
            <w:tcW w:w="8358" w:type="dxa"/>
          </w:tcPr>
          <w:p w:rsidR="00B71779" w:rsidRDefault="00B71779" w:rsidP="00253165">
            <w:pPr>
              <w:jc w:val="both"/>
            </w:pPr>
            <w:r>
              <w:t xml:space="preserve">What is the name of </w:t>
            </w:r>
            <w:r w:rsidR="00253165">
              <w:t xml:space="preserve">the </w:t>
            </w:r>
            <w:r>
              <w:t xml:space="preserve">statutory body that was formed to </w:t>
            </w:r>
            <w:r w:rsidRPr="00342D4D">
              <w:t>ensure uniform application of norms and guidelines set by the councils for the professions throughout the built environment</w:t>
            </w:r>
            <w:r>
              <w:t>?</w:t>
            </w:r>
          </w:p>
        </w:tc>
        <w:tc>
          <w:tcPr>
            <w:tcW w:w="573" w:type="dxa"/>
          </w:tcPr>
          <w:p w:rsidR="00B71779" w:rsidRDefault="00EC6BD4" w:rsidP="00270915">
            <w:pPr>
              <w:contextualSpacing/>
              <w:jc w:val="center"/>
            </w:pPr>
            <w:r>
              <w:t>(2)</w:t>
            </w:r>
          </w:p>
        </w:tc>
      </w:tr>
      <w:tr w:rsidR="00FC58CC" w:rsidTr="0052098C">
        <w:tc>
          <w:tcPr>
            <w:tcW w:w="9635" w:type="dxa"/>
            <w:gridSpan w:val="3"/>
          </w:tcPr>
          <w:p w:rsidR="00FC58CC" w:rsidRDefault="00FC58CC" w:rsidP="00270915">
            <w:pPr>
              <w:contextualSpacing/>
              <w:jc w:val="center"/>
            </w:pPr>
          </w:p>
        </w:tc>
      </w:tr>
      <w:tr w:rsidR="00B71779" w:rsidTr="0052098C">
        <w:tc>
          <w:tcPr>
            <w:tcW w:w="704" w:type="dxa"/>
          </w:tcPr>
          <w:p w:rsidR="00B71779" w:rsidRDefault="00B71779" w:rsidP="00270915">
            <w:pPr>
              <w:contextualSpacing/>
            </w:pPr>
            <w:r>
              <w:t>1.2</w:t>
            </w:r>
          </w:p>
        </w:tc>
        <w:tc>
          <w:tcPr>
            <w:tcW w:w="8358" w:type="dxa"/>
          </w:tcPr>
          <w:p w:rsidR="00B71779" w:rsidRDefault="00B71779" w:rsidP="00253165">
            <w:pPr>
              <w:jc w:val="both"/>
            </w:pPr>
            <w:r>
              <w:t xml:space="preserve">What is the name of the statutory body tasked to </w:t>
            </w:r>
            <w:r w:rsidRPr="00342D4D">
              <w:t>implement an integrated strategy for the reconstruction, growth and development of the construction industry</w:t>
            </w:r>
            <w:r>
              <w:t>?</w:t>
            </w:r>
          </w:p>
        </w:tc>
        <w:tc>
          <w:tcPr>
            <w:tcW w:w="573" w:type="dxa"/>
          </w:tcPr>
          <w:p w:rsidR="00B71779" w:rsidRDefault="004D0B72" w:rsidP="00270915">
            <w:pPr>
              <w:contextualSpacing/>
              <w:jc w:val="center"/>
            </w:pPr>
            <w:r>
              <w:t>(2</w:t>
            </w:r>
            <w:r w:rsidR="00EC6BD4">
              <w:t>)</w:t>
            </w:r>
          </w:p>
        </w:tc>
      </w:tr>
      <w:tr w:rsidR="00FC58CC" w:rsidTr="0052098C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  <w:tr w:rsidR="00B71779" w:rsidTr="0052098C">
        <w:tc>
          <w:tcPr>
            <w:tcW w:w="704" w:type="dxa"/>
          </w:tcPr>
          <w:p w:rsidR="00B71779" w:rsidRDefault="00B71779" w:rsidP="00B71779">
            <w:pPr>
              <w:contextualSpacing/>
            </w:pPr>
            <w:r>
              <w:t>1.3</w:t>
            </w:r>
          </w:p>
        </w:tc>
        <w:tc>
          <w:tcPr>
            <w:tcW w:w="8358" w:type="dxa"/>
          </w:tcPr>
          <w:p w:rsidR="00B71779" w:rsidRDefault="00B71779" w:rsidP="00B71779">
            <w:pPr>
              <w:contextualSpacing/>
              <w:jc w:val="both"/>
            </w:pPr>
            <w:r>
              <w:t xml:space="preserve">Provide </w:t>
            </w:r>
            <w:r w:rsidRPr="0041410F">
              <w:t>the full name, number and year</w:t>
            </w:r>
            <w:r w:rsidRPr="000E515F">
              <w:t xml:space="preserve"> of origin</w:t>
            </w:r>
            <w:r>
              <w:t xml:space="preserve"> of the Act</w:t>
            </w:r>
            <w:r w:rsidRPr="000E515F">
              <w:t xml:space="preserve"> </w:t>
            </w:r>
            <w:r>
              <w:t>that established the South African Council for the Architectural Profession (SACAP).</w:t>
            </w:r>
          </w:p>
        </w:tc>
        <w:tc>
          <w:tcPr>
            <w:tcW w:w="573" w:type="dxa"/>
          </w:tcPr>
          <w:p w:rsidR="00B71779" w:rsidRDefault="00EC6BD4" w:rsidP="00B71779">
            <w:pPr>
              <w:contextualSpacing/>
              <w:jc w:val="center"/>
            </w:pPr>
            <w:r>
              <w:t>(4)</w:t>
            </w:r>
          </w:p>
        </w:tc>
      </w:tr>
      <w:tr w:rsidR="00FC58CC" w:rsidTr="0052098C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  <w:tr w:rsidR="00B71779" w:rsidTr="0052098C">
        <w:tc>
          <w:tcPr>
            <w:tcW w:w="704" w:type="dxa"/>
          </w:tcPr>
          <w:p w:rsidR="00B71779" w:rsidRDefault="00B71779" w:rsidP="00B71779">
            <w:pPr>
              <w:contextualSpacing/>
            </w:pPr>
            <w:r>
              <w:t>1.4</w:t>
            </w:r>
          </w:p>
        </w:tc>
        <w:tc>
          <w:tcPr>
            <w:tcW w:w="8358" w:type="dxa"/>
          </w:tcPr>
          <w:p w:rsidR="00B71779" w:rsidRDefault="00974089" w:rsidP="00974089">
            <w:r>
              <w:t xml:space="preserve">Under this </w:t>
            </w:r>
            <w:r w:rsidR="00B71779">
              <w:t>Act</w:t>
            </w:r>
            <w:r>
              <w:t>, SACAP was established</w:t>
            </w:r>
            <w:r w:rsidR="00B71779">
              <w:t xml:space="preserve"> as a __________ person.</w:t>
            </w:r>
          </w:p>
        </w:tc>
        <w:tc>
          <w:tcPr>
            <w:tcW w:w="573" w:type="dxa"/>
          </w:tcPr>
          <w:p w:rsidR="00B71779" w:rsidRDefault="00EC6BD4" w:rsidP="00B71779">
            <w:pPr>
              <w:contextualSpacing/>
              <w:jc w:val="center"/>
            </w:pPr>
            <w:r>
              <w:t>(2)</w:t>
            </w:r>
          </w:p>
        </w:tc>
      </w:tr>
      <w:tr w:rsidR="00FC58CC" w:rsidTr="0052098C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  <w:tr w:rsidR="00EC6BD4" w:rsidTr="0052098C">
        <w:tc>
          <w:tcPr>
            <w:tcW w:w="704" w:type="dxa"/>
          </w:tcPr>
          <w:p w:rsidR="00EC6BD4" w:rsidRDefault="00EC6BD4" w:rsidP="00B71779">
            <w:pPr>
              <w:contextualSpacing/>
            </w:pPr>
            <w:r>
              <w:t>1.5</w:t>
            </w:r>
          </w:p>
        </w:tc>
        <w:tc>
          <w:tcPr>
            <w:tcW w:w="8358" w:type="dxa"/>
          </w:tcPr>
          <w:p w:rsidR="00974089" w:rsidRPr="00A020CB" w:rsidRDefault="00974089" w:rsidP="00974089">
            <w:pPr>
              <w:contextualSpacing/>
              <w:jc w:val="both"/>
            </w:pPr>
            <w:r>
              <w:t xml:space="preserve">Describe two activities that SACAP undertakes in order to enact its functions. </w:t>
            </w:r>
          </w:p>
        </w:tc>
        <w:tc>
          <w:tcPr>
            <w:tcW w:w="573" w:type="dxa"/>
          </w:tcPr>
          <w:p w:rsidR="00EC6BD4" w:rsidRDefault="00EC6BD4" w:rsidP="00B71779">
            <w:pPr>
              <w:contextualSpacing/>
              <w:jc w:val="center"/>
            </w:pPr>
            <w:r>
              <w:t>(6)</w:t>
            </w:r>
          </w:p>
        </w:tc>
      </w:tr>
      <w:tr w:rsidR="00FC58CC" w:rsidTr="0052098C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  <w:tr w:rsidR="00EC6BD4" w:rsidTr="0052098C">
        <w:tc>
          <w:tcPr>
            <w:tcW w:w="704" w:type="dxa"/>
          </w:tcPr>
          <w:p w:rsidR="00EC6BD4" w:rsidRDefault="00EC6BD4" w:rsidP="00B71779">
            <w:pPr>
              <w:contextualSpacing/>
            </w:pPr>
            <w:r>
              <w:t>1.6</w:t>
            </w:r>
          </w:p>
        </w:tc>
        <w:tc>
          <w:tcPr>
            <w:tcW w:w="8358" w:type="dxa"/>
          </w:tcPr>
          <w:p w:rsidR="00EC6BD4" w:rsidRDefault="00EC6BD4" w:rsidP="00EC6BD4">
            <w:pPr>
              <w:contextualSpacing/>
              <w:jc w:val="both"/>
            </w:pPr>
            <w:r>
              <w:t>Who appoints the SACAP Registrar?</w:t>
            </w:r>
          </w:p>
        </w:tc>
        <w:tc>
          <w:tcPr>
            <w:tcW w:w="573" w:type="dxa"/>
          </w:tcPr>
          <w:p w:rsidR="00EC6BD4" w:rsidRDefault="004D0B72" w:rsidP="00B71779">
            <w:pPr>
              <w:contextualSpacing/>
              <w:jc w:val="center"/>
            </w:pPr>
            <w:r>
              <w:t>(1</w:t>
            </w:r>
            <w:r w:rsidR="00EC6BD4">
              <w:t>)</w:t>
            </w:r>
          </w:p>
        </w:tc>
      </w:tr>
      <w:tr w:rsidR="00FC58CC" w:rsidTr="0052098C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  <w:tr w:rsidR="008F5050" w:rsidTr="0052098C">
        <w:tc>
          <w:tcPr>
            <w:tcW w:w="704" w:type="dxa"/>
          </w:tcPr>
          <w:p w:rsidR="008F5050" w:rsidRDefault="008F5050" w:rsidP="00B71779">
            <w:pPr>
              <w:contextualSpacing/>
            </w:pPr>
            <w:r>
              <w:t>1.7</w:t>
            </w:r>
          </w:p>
        </w:tc>
        <w:tc>
          <w:tcPr>
            <w:tcW w:w="8358" w:type="dxa"/>
          </w:tcPr>
          <w:p w:rsidR="008F5050" w:rsidRDefault="00FC58CC" w:rsidP="00974089">
            <w:pPr>
              <w:contextualSpacing/>
              <w:jc w:val="both"/>
            </w:pPr>
            <w:r>
              <w:t xml:space="preserve">Aside from adhering to </w:t>
            </w:r>
            <w:r w:rsidR="00200908">
              <w:t xml:space="preserve">SACAP </w:t>
            </w:r>
            <w:r>
              <w:t xml:space="preserve">registration requirements, </w:t>
            </w:r>
            <w:r w:rsidR="00974089">
              <w:t>identify</w:t>
            </w:r>
            <w:r w:rsidR="008F5050">
              <w:t xml:space="preserve"> </w:t>
            </w:r>
            <w:r w:rsidR="00033B23">
              <w:t>three</w:t>
            </w:r>
            <w:r w:rsidR="008F5050">
              <w:t xml:space="preserve"> reasons for </w:t>
            </w:r>
            <w:r>
              <w:t xml:space="preserve">engaging in </w:t>
            </w:r>
            <w:r w:rsidR="008F5050">
              <w:t>Continuing Professional Development as an architectural professional.</w:t>
            </w:r>
          </w:p>
        </w:tc>
        <w:tc>
          <w:tcPr>
            <w:tcW w:w="573" w:type="dxa"/>
          </w:tcPr>
          <w:p w:rsidR="008F5050" w:rsidRDefault="008F5050" w:rsidP="00B71779">
            <w:pPr>
              <w:contextualSpacing/>
              <w:jc w:val="center"/>
            </w:pPr>
            <w:r>
              <w:t>(</w:t>
            </w:r>
            <w:r w:rsidR="00033B23">
              <w:t>6</w:t>
            </w:r>
            <w:r>
              <w:t>)</w:t>
            </w:r>
          </w:p>
        </w:tc>
      </w:tr>
      <w:tr w:rsidR="00033B23" w:rsidTr="0052098C">
        <w:tc>
          <w:tcPr>
            <w:tcW w:w="9635" w:type="dxa"/>
            <w:gridSpan w:val="3"/>
          </w:tcPr>
          <w:p w:rsidR="00033B23" w:rsidRDefault="00033B23" w:rsidP="00B71779">
            <w:pPr>
              <w:contextualSpacing/>
              <w:jc w:val="center"/>
            </w:pPr>
          </w:p>
        </w:tc>
      </w:tr>
      <w:tr w:rsidR="00033B23" w:rsidTr="0052098C">
        <w:tc>
          <w:tcPr>
            <w:tcW w:w="704" w:type="dxa"/>
          </w:tcPr>
          <w:p w:rsidR="00033B23" w:rsidRDefault="00033B23" w:rsidP="00B71779">
            <w:pPr>
              <w:contextualSpacing/>
            </w:pPr>
            <w:r>
              <w:t>1.8</w:t>
            </w:r>
          </w:p>
        </w:tc>
        <w:tc>
          <w:tcPr>
            <w:tcW w:w="8358" w:type="dxa"/>
          </w:tcPr>
          <w:p w:rsidR="00033B23" w:rsidRPr="00200908" w:rsidRDefault="00033B23" w:rsidP="00200908">
            <w:pPr>
              <w:contextualSpacing/>
              <w:jc w:val="both"/>
            </w:pPr>
            <w:r w:rsidRPr="00200908">
              <w:t xml:space="preserve">Which </w:t>
            </w:r>
            <w:r>
              <w:t>two bodies are recognised by the SACAP Council for the purposes of offering appropriate learning for Category 1 Continuing Professional Development activities?</w:t>
            </w:r>
          </w:p>
        </w:tc>
        <w:tc>
          <w:tcPr>
            <w:tcW w:w="573" w:type="dxa"/>
          </w:tcPr>
          <w:p w:rsidR="00033B23" w:rsidRDefault="00033B23" w:rsidP="00B71779">
            <w:pPr>
              <w:contextualSpacing/>
              <w:jc w:val="center"/>
            </w:pPr>
            <w:r>
              <w:t>(2)</w:t>
            </w:r>
          </w:p>
        </w:tc>
      </w:tr>
      <w:tr w:rsidR="00FC58CC" w:rsidTr="0052098C">
        <w:tc>
          <w:tcPr>
            <w:tcW w:w="9635" w:type="dxa"/>
            <w:gridSpan w:val="3"/>
          </w:tcPr>
          <w:p w:rsidR="00FC58CC" w:rsidRDefault="00FC58CC" w:rsidP="00B71779">
            <w:pPr>
              <w:contextualSpacing/>
              <w:jc w:val="center"/>
            </w:pPr>
          </w:p>
        </w:tc>
      </w:tr>
    </w:tbl>
    <w:p w:rsidR="009904A7" w:rsidRDefault="009904A7" w:rsidP="007A2231">
      <w:pPr>
        <w:spacing w:after="0" w:line="240" w:lineRule="auto"/>
        <w:contextualSpacing/>
        <w:jc w:val="both"/>
      </w:pPr>
    </w:p>
    <w:p w:rsidR="00FC58CC" w:rsidRPr="007A2231" w:rsidRDefault="00FC58CC" w:rsidP="007A2231">
      <w:pPr>
        <w:spacing w:after="0" w:line="240" w:lineRule="auto"/>
        <w:contextualSpacing/>
        <w:jc w:val="both"/>
      </w:pPr>
    </w:p>
    <w:p w:rsidR="00981E70" w:rsidRPr="008F2399" w:rsidRDefault="00981E70" w:rsidP="00981E70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2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EE4E91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30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DC6933" w:rsidRDefault="00DC6933" w:rsidP="00415E9F">
      <w:pPr>
        <w:spacing w:after="0" w:line="240" w:lineRule="auto"/>
        <w:contextualSpacing/>
        <w:jc w:val="both"/>
      </w:pPr>
    </w:p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  <w:gridCol w:w="573"/>
      </w:tblGrid>
      <w:tr w:rsidR="00FC58CC" w:rsidTr="0052098C">
        <w:tc>
          <w:tcPr>
            <w:tcW w:w="704" w:type="dxa"/>
            <w:shd w:val="clear" w:color="auto" w:fill="auto"/>
          </w:tcPr>
          <w:p w:rsidR="00FC58CC" w:rsidRDefault="00FC58CC" w:rsidP="00FC58CC">
            <w:pPr>
              <w:contextualSpacing/>
            </w:pPr>
            <w:r>
              <w:t>2.1</w:t>
            </w:r>
          </w:p>
        </w:tc>
        <w:tc>
          <w:tcPr>
            <w:tcW w:w="8358" w:type="dxa"/>
          </w:tcPr>
          <w:p w:rsidR="00AB5FCC" w:rsidRDefault="00E8378A" w:rsidP="00C45393">
            <w:pPr>
              <w:contextualSpacing/>
              <w:jc w:val="both"/>
            </w:pPr>
            <w:r>
              <w:t>What are the three words used to describe the manner in which a registered person is expected to act as part of the overriding obligation under the rules of the SACAP Code of Professional Conduct?</w:t>
            </w:r>
          </w:p>
        </w:tc>
        <w:tc>
          <w:tcPr>
            <w:tcW w:w="573" w:type="dxa"/>
          </w:tcPr>
          <w:p w:rsidR="00FC58CC" w:rsidRDefault="004B6A01" w:rsidP="00FC58CC">
            <w:pPr>
              <w:contextualSpacing/>
              <w:jc w:val="center"/>
            </w:pPr>
            <w:r>
              <w:t>(6</w:t>
            </w:r>
            <w:r w:rsidR="00FC58CC">
              <w:t>)</w:t>
            </w:r>
          </w:p>
        </w:tc>
      </w:tr>
      <w:tr w:rsidR="00FC58CC" w:rsidTr="0052098C">
        <w:tc>
          <w:tcPr>
            <w:tcW w:w="9635" w:type="dxa"/>
            <w:gridSpan w:val="3"/>
          </w:tcPr>
          <w:p w:rsidR="00FC58CC" w:rsidRDefault="00FC58CC" w:rsidP="00FC58CC">
            <w:pPr>
              <w:contextualSpacing/>
              <w:jc w:val="center"/>
            </w:pPr>
          </w:p>
        </w:tc>
      </w:tr>
      <w:tr w:rsidR="00FC58CC" w:rsidTr="0052098C">
        <w:tc>
          <w:tcPr>
            <w:tcW w:w="704" w:type="dxa"/>
            <w:shd w:val="clear" w:color="auto" w:fill="auto"/>
          </w:tcPr>
          <w:p w:rsidR="00FC58CC" w:rsidRDefault="00FC58CC" w:rsidP="00FC58CC">
            <w:pPr>
              <w:contextualSpacing/>
            </w:pPr>
            <w:r>
              <w:t>2.2</w:t>
            </w:r>
          </w:p>
        </w:tc>
        <w:tc>
          <w:tcPr>
            <w:tcW w:w="8358" w:type="dxa"/>
          </w:tcPr>
          <w:p w:rsidR="00FC58CC" w:rsidRDefault="00FC58CC" w:rsidP="00C45393">
            <w:pPr>
              <w:contextualSpacing/>
              <w:jc w:val="both"/>
            </w:pPr>
            <w:r>
              <w:t>In terms of the rules of the SACAP Code of Professional Conduct, what</w:t>
            </w:r>
            <w:r w:rsidR="00C45393">
              <w:t xml:space="preserve"> three factors</w:t>
            </w:r>
            <w:r>
              <w:t xml:space="preserve"> determine the type of architectural practice that may be formed?</w:t>
            </w:r>
          </w:p>
        </w:tc>
        <w:tc>
          <w:tcPr>
            <w:tcW w:w="573" w:type="dxa"/>
          </w:tcPr>
          <w:p w:rsidR="00FC58CC" w:rsidRDefault="00FC58CC" w:rsidP="00FC58CC">
            <w:pPr>
              <w:contextualSpacing/>
              <w:jc w:val="center"/>
            </w:pPr>
            <w:r>
              <w:t>(6)</w:t>
            </w:r>
          </w:p>
        </w:tc>
      </w:tr>
      <w:tr w:rsidR="004B6A01" w:rsidTr="0052098C">
        <w:tc>
          <w:tcPr>
            <w:tcW w:w="9635" w:type="dxa"/>
            <w:gridSpan w:val="3"/>
          </w:tcPr>
          <w:p w:rsidR="004B6A01" w:rsidRDefault="004B6A01" w:rsidP="00FC58CC">
            <w:pPr>
              <w:contextualSpacing/>
              <w:jc w:val="center"/>
            </w:pPr>
          </w:p>
        </w:tc>
      </w:tr>
      <w:tr w:rsidR="004B6A01" w:rsidTr="0052098C">
        <w:tc>
          <w:tcPr>
            <w:tcW w:w="704" w:type="dxa"/>
          </w:tcPr>
          <w:p w:rsidR="004B6A01" w:rsidRDefault="004B6A01" w:rsidP="00FC58CC">
            <w:pPr>
              <w:contextualSpacing/>
            </w:pPr>
            <w:r>
              <w:t>2.3</w:t>
            </w:r>
          </w:p>
        </w:tc>
        <w:tc>
          <w:tcPr>
            <w:tcW w:w="8358" w:type="dxa"/>
          </w:tcPr>
          <w:p w:rsidR="004B6A01" w:rsidRDefault="004B6A01" w:rsidP="00E8378A">
            <w:pPr>
              <w:contextualSpacing/>
              <w:jc w:val="both"/>
            </w:pPr>
            <w:r>
              <w:t xml:space="preserve">Identify </w:t>
            </w:r>
            <w:r w:rsidR="007B1773">
              <w:t xml:space="preserve">six </w:t>
            </w:r>
            <w:r>
              <w:t xml:space="preserve">terms of the appointment </w:t>
            </w:r>
            <w:r w:rsidR="00E8378A">
              <w:t>of</w:t>
            </w:r>
            <w:r>
              <w:t xml:space="preserve"> an architectural professional that must be clearly set out in writing in terms of the rules of the SACAP Code of Professional Conduct.</w:t>
            </w:r>
          </w:p>
        </w:tc>
        <w:tc>
          <w:tcPr>
            <w:tcW w:w="573" w:type="dxa"/>
          </w:tcPr>
          <w:p w:rsidR="004B6A01" w:rsidRDefault="004B6A01" w:rsidP="00FC58CC">
            <w:pPr>
              <w:contextualSpacing/>
              <w:jc w:val="center"/>
            </w:pPr>
            <w:r>
              <w:t>(12)</w:t>
            </w:r>
          </w:p>
        </w:tc>
      </w:tr>
      <w:tr w:rsidR="00C113E0" w:rsidTr="0052098C">
        <w:tc>
          <w:tcPr>
            <w:tcW w:w="704" w:type="dxa"/>
          </w:tcPr>
          <w:p w:rsidR="00C113E0" w:rsidRDefault="00C113E0" w:rsidP="00FC58CC">
            <w:pPr>
              <w:contextualSpacing/>
            </w:pPr>
          </w:p>
        </w:tc>
        <w:tc>
          <w:tcPr>
            <w:tcW w:w="8358" w:type="dxa"/>
          </w:tcPr>
          <w:p w:rsidR="00C113E0" w:rsidRDefault="00C113E0" w:rsidP="004B6A01">
            <w:pPr>
              <w:contextualSpacing/>
              <w:jc w:val="both"/>
              <w:rPr>
                <w:i/>
                <w:color w:val="FF0000"/>
              </w:rPr>
            </w:pPr>
          </w:p>
        </w:tc>
        <w:tc>
          <w:tcPr>
            <w:tcW w:w="573" w:type="dxa"/>
          </w:tcPr>
          <w:p w:rsidR="00C113E0" w:rsidRDefault="00C113E0" w:rsidP="00FC58CC">
            <w:pPr>
              <w:contextualSpacing/>
              <w:jc w:val="center"/>
            </w:pPr>
          </w:p>
        </w:tc>
      </w:tr>
      <w:tr w:rsidR="00033B23" w:rsidTr="0052098C">
        <w:tc>
          <w:tcPr>
            <w:tcW w:w="704" w:type="dxa"/>
          </w:tcPr>
          <w:p w:rsidR="00033B23" w:rsidRDefault="00033B23" w:rsidP="00FC58CC">
            <w:pPr>
              <w:contextualSpacing/>
            </w:pPr>
            <w:r>
              <w:t>2.4</w:t>
            </w:r>
          </w:p>
        </w:tc>
        <w:tc>
          <w:tcPr>
            <w:tcW w:w="8358" w:type="dxa"/>
          </w:tcPr>
          <w:p w:rsidR="00033B23" w:rsidRDefault="00033B23" w:rsidP="00974089">
            <w:pPr>
              <w:contextualSpacing/>
              <w:jc w:val="both"/>
              <w:rPr>
                <w:i/>
                <w:color w:val="FF0000"/>
              </w:rPr>
            </w:pPr>
            <w:r>
              <w:t xml:space="preserve">What </w:t>
            </w:r>
            <w:r w:rsidR="00974089">
              <w:t>is the difference</w:t>
            </w:r>
            <w:r>
              <w:t xml:space="preserve"> between the terms 'registered principals' and 'registered professional'</w:t>
            </w:r>
            <w:r w:rsidR="0080794E">
              <w:t xml:space="preserve"> as found in the SACAP Code of Professional Conduct</w:t>
            </w:r>
            <w:r>
              <w:t>?</w:t>
            </w:r>
          </w:p>
        </w:tc>
        <w:tc>
          <w:tcPr>
            <w:tcW w:w="573" w:type="dxa"/>
          </w:tcPr>
          <w:p w:rsidR="00033B23" w:rsidRDefault="00033B23" w:rsidP="00FC58CC">
            <w:pPr>
              <w:contextualSpacing/>
              <w:jc w:val="center"/>
            </w:pPr>
            <w:r>
              <w:t>(4)</w:t>
            </w:r>
          </w:p>
        </w:tc>
      </w:tr>
      <w:tr w:rsidR="00033B23" w:rsidTr="0052098C">
        <w:tc>
          <w:tcPr>
            <w:tcW w:w="9635" w:type="dxa"/>
            <w:gridSpan w:val="3"/>
          </w:tcPr>
          <w:p w:rsidR="00033B23" w:rsidRDefault="00033B23" w:rsidP="00FC58CC">
            <w:pPr>
              <w:contextualSpacing/>
              <w:jc w:val="center"/>
            </w:pPr>
          </w:p>
        </w:tc>
      </w:tr>
      <w:tr w:rsidR="00033B23" w:rsidTr="0052098C">
        <w:tc>
          <w:tcPr>
            <w:tcW w:w="704" w:type="dxa"/>
          </w:tcPr>
          <w:p w:rsidR="00033B23" w:rsidRDefault="00033B23" w:rsidP="00FC58CC">
            <w:pPr>
              <w:contextualSpacing/>
            </w:pPr>
            <w:r>
              <w:t>2.5</w:t>
            </w:r>
          </w:p>
        </w:tc>
        <w:tc>
          <w:tcPr>
            <w:tcW w:w="8358" w:type="dxa"/>
          </w:tcPr>
          <w:p w:rsidR="00033B23" w:rsidRPr="00033B23" w:rsidRDefault="00033B23" w:rsidP="004B6A01">
            <w:pPr>
              <w:contextualSpacing/>
              <w:jc w:val="both"/>
            </w:pPr>
            <w:r>
              <w:t xml:space="preserve">Is it correct </w:t>
            </w:r>
            <w:r w:rsidR="00974089">
              <w:t xml:space="preserve">or incorrect </w:t>
            </w:r>
            <w:r>
              <w:t>to state that an architectural practice must be registered with SACAP?</w:t>
            </w:r>
          </w:p>
        </w:tc>
        <w:tc>
          <w:tcPr>
            <w:tcW w:w="573" w:type="dxa"/>
          </w:tcPr>
          <w:p w:rsidR="00033B23" w:rsidRDefault="00033B23" w:rsidP="00FC58CC">
            <w:pPr>
              <w:contextualSpacing/>
              <w:jc w:val="center"/>
            </w:pPr>
            <w:r>
              <w:t>(2)</w:t>
            </w:r>
          </w:p>
        </w:tc>
      </w:tr>
      <w:tr w:rsidR="004B6A01" w:rsidTr="0052098C">
        <w:tc>
          <w:tcPr>
            <w:tcW w:w="9635" w:type="dxa"/>
            <w:gridSpan w:val="3"/>
          </w:tcPr>
          <w:p w:rsidR="004B6A01" w:rsidRDefault="004B6A01" w:rsidP="00FC58CC">
            <w:pPr>
              <w:contextualSpacing/>
              <w:jc w:val="center"/>
            </w:pPr>
          </w:p>
        </w:tc>
      </w:tr>
    </w:tbl>
    <w:p w:rsidR="000532B8" w:rsidRDefault="000532B8" w:rsidP="00415E9F">
      <w:pPr>
        <w:spacing w:after="0" w:line="240" w:lineRule="auto"/>
        <w:contextualSpacing/>
        <w:jc w:val="both"/>
      </w:pPr>
    </w:p>
    <w:p w:rsidR="000532B8" w:rsidRDefault="000532B8" w:rsidP="00415E9F">
      <w:pPr>
        <w:spacing w:after="0" w:line="240" w:lineRule="auto"/>
        <w:contextualSpacing/>
        <w:jc w:val="both"/>
      </w:pPr>
    </w:p>
    <w:p w:rsidR="00614BC4" w:rsidRPr="008F2399" w:rsidRDefault="00850233" w:rsidP="00614BC4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3</w:t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14BC4"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377461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4</w:t>
      </w:r>
      <w:r w:rsidR="00475F39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0</w:t>
      </w:r>
      <w:r w:rsidR="00614BC4"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4D5764" w:rsidRDefault="004D5764" w:rsidP="00415E9F">
      <w:pPr>
        <w:spacing w:after="0" w:line="240" w:lineRule="auto"/>
        <w:contextualSpacing/>
        <w:jc w:val="both"/>
      </w:pPr>
    </w:p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  <w:gridCol w:w="573"/>
      </w:tblGrid>
      <w:tr w:rsidR="00A12EBC" w:rsidTr="0052098C">
        <w:tc>
          <w:tcPr>
            <w:tcW w:w="9635" w:type="dxa"/>
            <w:gridSpan w:val="3"/>
          </w:tcPr>
          <w:p w:rsidR="00A12EBC" w:rsidRDefault="00A12EBC" w:rsidP="003E53FD">
            <w:pPr>
              <w:contextualSpacing/>
              <w:jc w:val="both"/>
            </w:pPr>
            <w:r>
              <w:t xml:space="preserve">The standard </w:t>
            </w:r>
            <w:r w:rsidR="00033B23">
              <w:t xml:space="preserve">("full") </w:t>
            </w:r>
            <w:r>
              <w:t>scope of an architectural professional’s service is to fulfil the role</w:t>
            </w:r>
            <w:r w:rsidR="009C73CF">
              <w:t>s</w:t>
            </w:r>
            <w:r>
              <w:t xml:space="preserve"> and obligations of architectural professional, principal consultant and principal agent. You have been approached by a client to carry out architectural services on a </w:t>
            </w:r>
            <w:r w:rsidR="0064306D">
              <w:t>new</w:t>
            </w:r>
            <w:r>
              <w:t xml:space="preserve"> office building</w:t>
            </w:r>
            <w:r w:rsidR="0064306D">
              <w:t xml:space="preserve"> with a very limited timeframe</w:t>
            </w:r>
            <w:r>
              <w:t xml:space="preserve"> and are being faced with numerous questions from the client rega</w:t>
            </w:r>
            <w:r w:rsidR="003D17F5">
              <w:t>rding your role</w:t>
            </w:r>
            <w:r w:rsidR="009C73CF">
              <w:t>s</w:t>
            </w:r>
            <w:r w:rsidR="003D17F5">
              <w:t xml:space="preserve"> on the project. </w:t>
            </w:r>
            <w:r>
              <w:t xml:space="preserve">The client is unfamiliar with the processes involved in designing a building and has questioned </w:t>
            </w:r>
            <w:r w:rsidR="00412582">
              <w:t xml:space="preserve">your roles and </w:t>
            </w:r>
            <w:r>
              <w:t xml:space="preserve">the need </w:t>
            </w:r>
            <w:r w:rsidR="0064306D">
              <w:t xml:space="preserve">for your service in </w:t>
            </w:r>
            <w:r>
              <w:t xml:space="preserve">work stage </w:t>
            </w:r>
            <w:r w:rsidR="00E26DDC">
              <w:t>3</w:t>
            </w:r>
            <w:r>
              <w:t xml:space="preserve"> over and above the work in work stage 2.</w:t>
            </w:r>
          </w:p>
        </w:tc>
      </w:tr>
      <w:tr w:rsidR="00A12EBC" w:rsidTr="0052098C">
        <w:tc>
          <w:tcPr>
            <w:tcW w:w="9635" w:type="dxa"/>
            <w:gridSpan w:val="3"/>
          </w:tcPr>
          <w:p w:rsidR="00A12EBC" w:rsidRDefault="00A12EBC" w:rsidP="00200908">
            <w:pPr>
              <w:contextualSpacing/>
              <w:jc w:val="center"/>
            </w:pPr>
          </w:p>
        </w:tc>
      </w:tr>
      <w:tr w:rsidR="0080794E" w:rsidTr="0052098C">
        <w:tc>
          <w:tcPr>
            <w:tcW w:w="704" w:type="dxa"/>
          </w:tcPr>
          <w:p w:rsidR="0080794E" w:rsidRDefault="0080794E" w:rsidP="00200908">
            <w:pPr>
              <w:contextualSpacing/>
            </w:pPr>
            <w:r>
              <w:t>3.1</w:t>
            </w:r>
          </w:p>
        </w:tc>
        <w:tc>
          <w:tcPr>
            <w:tcW w:w="8358" w:type="dxa"/>
          </w:tcPr>
          <w:p w:rsidR="00E8378A" w:rsidRPr="00A020CB" w:rsidRDefault="0080794E" w:rsidP="00E8378A">
            <w:pPr>
              <w:contextualSpacing/>
              <w:jc w:val="both"/>
            </w:pPr>
            <w:r>
              <w:t>In response to the client’s q</w:t>
            </w:r>
            <w:r w:rsidR="00E8378A">
              <w:t>ueries, provide an outline of two</w:t>
            </w:r>
            <w:r>
              <w:t xml:space="preserve"> different obligations of </w:t>
            </w:r>
            <w:r w:rsidR="00E8378A">
              <w:t xml:space="preserve">the </w:t>
            </w:r>
            <w:r>
              <w:t>architectural professional, principal consultant and</w:t>
            </w:r>
            <w:r w:rsidR="00E8378A">
              <w:t xml:space="preserve"> principal agent </w:t>
            </w:r>
            <w:r w:rsidR="00A020CB">
              <w:t xml:space="preserve">on the project </w:t>
            </w:r>
            <w:r w:rsidR="00A020CB" w:rsidRPr="00A020CB">
              <w:t>(two obligations for each role).</w:t>
            </w:r>
          </w:p>
        </w:tc>
        <w:tc>
          <w:tcPr>
            <w:tcW w:w="573" w:type="dxa"/>
          </w:tcPr>
          <w:p w:rsidR="0080794E" w:rsidRDefault="0080794E" w:rsidP="00200908">
            <w:pPr>
              <w:contextualSpacing/>
              <w:jc w:val="center"/>
            </w:pPr>
            <w:r>
              <w:t>(6)</w:t>
            </w:r>
          </w:p>
        </w:tc>
      </w:tr>
      <w:tr w:rsidR="00FF01B7" w:rsidTr="0052098C">
        <w:tc>
          <w:tcPr>
            <w:tcW w:w="9635" w:type="dxa"/>
            <w:gridSpan w:val="3"/>
          </w:tcPr>
          <w:p w:rsidR="00FF01B7" w:rsidRDefault="00FF01B7" w:rsidP="00200908">
            <w:pPr>
              <w:contextualSpacing/>
              <w:jc w:val="center"/>
            </w:pPr>
          </w:p>
        </w:tc>
      </w:tr>
      <w:tr w:rsidR="00A12EBC" w:rsidTr="0052098C">
        <w:tc>
          <w:tcPr>
            <w:tcW w:w="704" w:type="dxa"/>
            <w:shd w:val="clear" w:color="auto" w:fill="auto"/>
          </w:tcPr>
          <w:p w:rsidR="00A12EBC" w:rsidRDefault="00412582" w:rsidP="00200908">
            <w:pPr>
              <w:contextualSpacing/>
            </w:pPr>
            <w:r>
              <w:t>3.2</w:t>
            </w:r>
          </w:p>
        </w:tc>
        <w:tc>
          <w:tcPr>
            <w:tcW w:w="8358" w:type="dxa"/>
          </w:tcPr>
          <w:p w:rsidR="0087198B" w:rsidRDefault="006740D0" w:rsidP="00F46BC1">
            <w:pPr>
              <w:contextualSpacing/>
              <w:jc w:val="both"/>
            </w:pPr>
            <w:r>
              <w:t>The client does not</w:t>
            </w:r>
            <w:r w:rsidR="00E26DDC">
              <w:t xml:space="preserve"> fully</w:t>
            </w:r>
            <w:r>
              <w:t xml:space="preserve"> understand </w:t>
            </w:r>
            <w:r w:rsidR="00E26DDC">
              <w:t xml:space="preserve">the </w:t>
            </w:r>
            <w:r w:rsidR="00B91EBE">
              <w:t>difference between</w:t>
            </w:r>
            <w:r w:rsidR="00E26DDC">
              <w:t xml:space="preserve"> your service in work stage </w:t>
            </w:r>
            <w:r w:rsidR="00897EF8">
              <w:t>2</w:t>
            </w:r>
            <w:r w:rsidR="00E26DDC">
              <w:t xml:space="preserve"> </w:t>
            </w:r>
            <w:r w:rsidR="00B91EBE">
              <w:t xml:space="preserve">and </w:t>
            </w:r>
            <w:r w:rsidR="00E26DDC">
              <w:t xml:space="preserve">work in work stage </w:t>
            </w:r>
            <w:r w:rsidR="00B91EBE">
              <w:t>3</w:t>
            </w:r>
            <w:r w:rsidR="00E26DDC">
              <w:t xml:space="preserve">. </w:t>
            </w:r>
            <w:r w:rsidR="003E53FD">
              <w:t>In order to explain, i</w:t>
            </w:r>
            <w:r>
              <w:t xml:space="preserve">dentify the titles for these two work stages plus the proportion of the total fee to be allocated to each. </w:t>
            </w:r>
            <w:r w:rsidR="003E53FD">
              <w:t>To differentiate between work stage 2 and 3, describe t</w:t>
            </w:r>
            <w:r w:rsidR="00F46BC1">
              <w:t>wo</w:t>
            </w:r>
            <w:r w:rsidR="003E53FD">
              <w:t xml:space="preserve"> aspects of the se</w:t>
            </w:r>
            <w:r w:rsidR="00897EF8">
              <w:t>rvice you will provide for each.</w:t>
            </w:r>
          </w:p>
        </w:tc>
        <w:tc>
          <w:tcPr>
            <w:tcW w:w="573" w:type="dxa"/>
          </w:tcPr>
          <w:p w:rsidR="00A12EBC" w:rsidRDefault="00A12EBC" w:rsidP="00200908">
            <w:pPr>
              <w:contextualSpacing/>
              <w:jc w:val="center"/>
            </w:pPr>
            <w:r>
              <w:t>(</w:t>
            </w:r>
            <w:r w:rsidR="00894BD6">
              <w:t>16</w:t>
            </w:r>
            <w:r>
              <w:t>)</w:t>
            </w:r>
          </w:p>
        </w:tc>
      </w:tr>
      <w:tr w:rsidR="00A12EBC" w:rsidTr="0052098C">
        <w:tc>
          <w:tcPr>
            <w:tcW w:w="9635" w:type="dxa"/>
            <w:gridSpan w:val="3"/>
          </w:tcPr>
          <w:p w:rsidR="00A12EBC" w:rsidRDefault="00A12EBC" w:rsidP="00200908">
            <w:pPr>
              <w:contextualSpacing/>
              <w:jc w:val="center"/>
            </w:pPr>
          </w:p>
        </w:tc>
      </w:tr>
      <w:tr w:rsidR="0034280D" w:rsidTr="0052098C">
        <w:tc>
          <w:tcPr>
            <w:tcW w:w="704" w:type="dxa"/>
          </w:tcPr>
          <w:p w:rsidR="0034280D" w:rsidRDefault="00FF01B7" w:rsidP="00200908">
            <w:pPr>
              <w:contextualSpacing/>
            </w:pPr>
            <w:r>
              <w:t>3.3</w:t>
            </w:r>
          </w:p>
        </w:tc>
        <w:tc>
          <w:tcPr>
            <w:tcW w:w="8358" w:type="dxa"/>
          </w:tcPr>
          <w:p w:rsidR="0034280D" w:rsidRDefault="0034280D" w:rsidP="00475F39">
            <w:pPr>
              <w:contextualSpacing/>
              <w:jc w:val="both"/>
            </w:pPr>
            <w:r>
              <w:t xml:space="preserve">Identify </w:t>
            </w:r>
            <w:r w:rsidR="00475F39">
              <w:t>six</w:t>
            </w:r>
            <w:r>
              <w:t xml:space="preserve"> of the parameters on which the SACAP guideline fees and disbursements for architectural services are based.</w:t>
            </w:r>
          </w:p>
        </w:tc>
        <w:tc>
          <w:tcPr>
            <w:tcW w:w="573" w:type="dxa"/>
          </w:tcPr>
          <w:p w:rsidR="0034280D" w:rsidRDefault="0034280D" w:rsidP="00200908">
            <w:pPr>
              <w:contextualSpacing/>
              <w:jc w:val="center"/>
            </w:pPr>
            <w:r>
              <w:t>(</w:t>
            </w:r>
            <w:r w:rsidR="00475F39">
              <w:t>6</w:t>
            </w:r>
            <w:r>
              <w:t>)</w:t>
            </w:r>
          </w:p>
        </w:tc>
      </w:tr>
      <w:tr w:rsidR="0034280D" w:rsidTr="0052098C">
        <w:tc>
          <w:tcPr>
            <w:tcW w:w="9635" w:type="dxa"/>
            <w:gridSpan w:val="3"/>
          </w:tcPr>
          <w:p w:rsidR="0034280D" w:rsidRDefault="0034280D" w:rsidP="00200908">
            <w:pPr>
              <w:contextualSpacing/>
              <w:jc w:val="center"/>
            </w:pPr>
          </w:p>
        </w:tc>
      </w:tr>
      <w:tr w:rsidR="0034280D" w:rsidTr="0052098C">
        <w:tc>
          <w:tcPr>
            <w:tcW w:w="704" w:type="dxa"/>
          </w:tcPr>
          <w:p w:rsidR="0034280D" w:rsidRDefault="00FF01B7" w:rsidP="00200908">
            <w:pPr>
              <w:contextualSpacing/>
            </w:pPr>
            <w:r>
              <w:t>3.4</w:t>
            </w:r>
          </w:p>
        </w:tc>
        <w:tc>
          <w:tcPr>
            <w:tcW w:w="8358" w:type="dxa"/>
          </w:tcPr>
          <w:p w:rsidR="0034280D" w:rsidRDefault="0034280D" w:rsidP="004D5764">
            <w:pPr>
              <w:contextualSpacing/>
              <w:jc w:val="both"/>
            </w:pPr>
            <w:r>
              <w:t>What should occur if any of the above parameters materially change?</w:t>
            </w:r>
          </w:p>
        </w:tc>
        <w:tc>
          <w:tcPr>
            <w:tcW w:w="573" w:type="dxa"/>
          </w:tcPr>
          <w:p w:rsidR="0034280D" w:rsidRDefault="00475F39" w:rsidP="00200908">
            <w:pPr>
              <w:contextualSpacing/>
              <w:jc w:val="center"/>
            </w:pPr>
            <w:r>
              <w:t>(4</w:t>
            </w:r>
            <w:r w:rsidR="003D17F5">
              <w:t>)</w:t>
            </w:r>
          </w:p>
        </w:tc>
      </w:tr>
      <w:tr w:rsidR="0034280D" w:rsidTr="0052098C">
        <w:tc>
          <w:tcPr>
            <w:tcW w:w="9635" w:type="dxa"/>
            <w:gridSpan w:val="3"/>
          </w:tcPr>
          <w:p w:rsidR="0034280D" w:rsidRDefault="0034280D" w:rsidP="00200908">
            <w:pPr>
              <w:contextualSpacing/>
              <w:jc w:val="center"/>
            </w:pPr>
          </w:p>
        </w:tc>
      </w:tr>
      <w:tr w:rsidR="0034280D" w:rsidTr="0052098C">
        <w:tc>
          <w:tcPr>
            <w:tcW w:w="704" w:type="dxa"/>
          </w:tcPr>
          <w:p w:rsidR="0034280D" w:rsidRDefault="00FF01B7" w:rsidP="00200908">
            <w:pPr>
              <w:contextualSpacing/>
            </w:pPr>
            <w:r>
              <w:t>3.5</w:t>
            </w:r>
          </w:p>
        </w:tc>
        <w:tc>
          <w:tcPr>
            <w:tcW w:w="8358" w:type="dxa"/>
          </w:tcPr>
          <w:p w:rsidR="0034280D" w:rsidRDefault="0034280D" w:rsidP="00A020CB">
            <w:pPr>
              <w:contextualSpacing/>
              <w:jc w:val="both"/>
            </w:pPr>
            <w:r>
              <w:t>Why does one indicate that fees would be due</w:t>
            </w:r>
            <w:r w:rsidR="00A020CB">
              <w:t xml:space="preserve"> for each work stage?</w:t>
            </w:r>
            <w:r>
              <w:t xml:space="preserve"> </w:t>
            </w:r>
            <w:r w:rsidR="00A020CB">
              <w:t>W</w:t>
            </w:r>
            <w:r>
              <w:t>hat would be the alternative?</w:t>
            </w:r>
          </w:p>
        </w:tc>
        <w:tc>
          <w:tcPr>
            <w:tcW w:w="573" w:type="dxa"/>
          </w:tcPr>
          <w:p w:rsidR="0034280D" w:rsidRDefault="0034280D" w:rsidP="00200908">
            <w:pPr>
              <w:contextualSpacing/>
              <w:jc w:val="center"/>
            </w:pPr>
            <w:r>
              <w:t>(</w:t>
            </w:r>
            <w:r w:rsidR="00894BD6">
              <w:t>4</w:t>
            </w:r>
            <w:r>
              <w:t>)</w:t>
            </w:r>
          </w:p>
        </w:tc>
      </w:tr>
      <w:tr w:rsidR="00FF01B7" w:rsidTr="0052098C">
        <w:tc>
          <w:tcPr>
            <w:tcW w:w="9635" w:type="dxa"/>
            <w:gridSpan w:val="3"/>
          </w:tcPr>
          <w:p w:rsidR="00FF01B7" w:rsidRDefault="00FF01B7" w:rsidP="00200908">
            <w:pPr>
              <w:contextualSpacing/>
              <w:jc w:val="center"/>
            </w:pPr>
          </w:p>
        </w:tc>
      </w:tr>
      <w:tr w:rsidR="00377461" w:rsidTr="0052098C">
        <w:tc>
          <w:tcPr>
            <w:tcW w:w="704" w:type="dxa"/>
          </w:tcPr>
          <w:p w:rsidR="00377461" w:rsidRDefault="00377461" w:rsidP="00200908">
            <w:pPr>
              <w:contextualSpacing/>
            </w:pPr>
            <w:r>
              <w:t>3.6</w:t>
            </w:r>
          </w:p>
        </w:tc>
        <w:tc>
          <w:tcPr>
            <w:tcW w:w="8358" w:type="dxa"/>
          </w:tcPr>
          <w:p w:rsidR="00377461" w:rsidRDefault="00377461" w:rsidP="0064306D">
            <w:pPr>
              <w:contextualSpacing/>
              <w:jc w:val="both"/>
            </w:pPr>
            <w:r>
              <w:t>In a project with a limited timeframe, what option may be considered in the provision of architectural services and what would be the impact of selecting such option?</w:t>
            </w:r>
          </w:p>
        </w:tc>
        <w:tc>
          <w:tcPr>
            <w:tcW w:w="573" w:type="dxa"/>
          </w:tcPr>
          <w:p w:rsidR="00377461" w:rsidRDefault="00894BD6" w:rsidP="00200908">
            <w:pPr>
              <w:contextualSpacing/>
              <w:jc w:val="center"/>
            </w:pPr>
            <w:r>
              <w:t>(4</w:t>
            </w:r>
            <w:r w:rsidR="00377461">
              <w:t>)</w:t>
            </w:r>
          </w:p>
        </w:tc>
      </w:tr>
      <w:tr w:rsidR="00377461" w:rsidTr="0052098C">
        <w:tc>
          <w:tcPr>
            <w:tcW w:w="9635" w:type="dxa"/>
            <w:gridSpan w:val="3"/>
          </w:tcPr>
          <w:p w:rsidR="00377461" w:rsidRDefault="00377461" w:rsidP="00200908">
            <w:pPr>
              <w:contextualSpacing/>
              <w:jc w:val="center"/>
            </w:pPr>
          </w:p>
        </w:tc>
      </w:tr>
    </w:tbl>
    <w:p w:rsidR="009904A7" w:rsidRDefault="009904A7" w:rsidP="00415E9F">
      <w:pPr>
        <w:spacing w:after="0" w:line="240" w:lineRule="auto"/>
        <w:contextualSpacing/>
        <w:jc w:val="both"/>
      </w:pPr>
    </w:p>
    <w:p w:rsidR="003F151E" w:rsidRDefault="003F151E" w:rsidP="00415E9F">
      <w:pPr>
        <w:spacing w:after="0" w:line="240" w:lineRule="auto"/>
        <w:contextualSpacing/>
        <w:jc w:val="both"/>
      </w:pPr>
    </w:p>
    <w:p w:rsidR="00494F19" w:rsidRPr="008F2399" w:rsidRDefault="00494F19" w:rsidP="00494F19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4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 w:rsidR="00673C3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30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4B510C" w:rsidRDefault="004B510C" w:rsidP="00415E9F">
      <w:pPr>
        <w:spacing w:after="0" w:line="240" w:lineRule="auto"/>
        <w:contextualSpacing/>
        <w:jc w:val="both"/>
      </w:pPr>
    </w:p>
    <w:tbl>
      <w:tblPr>
        <w:tblStyle w:val="TableGrid"/>
        <w:tblW w:w="964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25"/>
        <w:gridCol w:w="7941"/>
        <w:gridCol w:w="573"/>
      </w:tblGrid>
      <w:tr w:rsidR="00FA4DBB" w:rsidTr="0052098C">
        <w:tc>
          <w:tcPr>
            <w:tcW w:w="706" w:type="dxa"/>
          </w:tcPr>
          <w:p w:rsidR="00FA4DBB" w:rsidRDefault="00FA4DBB" w:rsidP="0039454E">
            <w:pPr>
              <w:contextualSpacing/>
            </w:pPr>
            <w:r>
              <w:t>4.1</w:t>
            </w:r>
          </w:p>
        </w:tc>
        <w:tc>
          <w:tcPr>
            <w:tcW w:w="8366" w:type="dxa"/>
            <w:gridSpan w:val="2"/>
            <w:vAlign w:val="center"/>
          </w:tcPr>
          <w:p w:rsidR="00FA4DBB" w:rsidRDefault="00FA4DBB" w:rsidP="007B14FF">
            <w:pPr>
              <w:contextualSpacing/>
              <w:jc w:val="both"/>
            </w:pPr>
            <w:r>
              <w:t>Identify four advantages of entering into a standard form of Professional Service Agreement with a client.</w:t>
            </w:r>
          </w:p>
        </w:tc>
        <w:tc>
          <w:tcPr>
            <w:tcW w:w="573" w:type="dxa"/>
          </w:tcPr>
          <w:p w:rsidR="00FA4DBB" w:rsidRDefault="00152012" w:rsidP="0039454E">
            <w:pPr>
              <w:contextualSpacing/>
              <w:jc w:val="center"/>
            </w:pPr>
            <w:r>
              <w:t>(8</w:t>
            </w:r>
            <w:r w:rsidR="00FA4DBB">
              <w:t>)</w:t>
            </w:r>
          </w:p>
        </w:tc>
      </w:tr>
      <w:tr w:rsidR="00FA4DBB" w:rsidTr="0052098C">
        <w:tc>
          <w:tcPr>
            <w:tcW w:w="9645" w:type="dxa"/>
            <w:gridSpan w:val="4"/>
          </w:tcPr>
          <w:p w:rsidR="00FA4DBB" w:rsidRDefault="00FA4DBB" w:rsidP="0039454E">
            <w:pPr>
              <w:contextualSpacing/>
              <w:jc w:val="center"/>
            </w:pPr>
          </w:p>
        </w:tc>
      </w:tr>
      <w:tr w:rsidR="00FA4DBB" w:rsidTr="0052098C">
        <w:tc>
          <w:tcPr>
            <w:tcW w:w="706" w:type="dxa"/>
          </w:tcPr>
          <w:p w:rsidR="00FA4DBB" w:rsidRDefault="00FA4DBB" w:rsidP="0039454E">
            <w:pPr>
              <w:contextualSpacing/>
            </w:pPr>
            <w:r>
              <w:t>4.2</w:t>
            </w:r>
          </w:p>
        </w:tc>
        <w:tc>
          <w:tcPr>
            <w:tcW w:w="8366" w:type="dxa"/>
            <w:gridSpan w:val="2"/>
            <w:vAlign w:val="center"/>
          </w:tcPr>
          <w:p w:rsidR="00FA4DBB" w:rsidRDefault="001B730A" w:rsidP="0039454E">
            <w:pPr>
              <w:contextualSpacing/>
              <w:jc w:val="both"/>
            </w:pPr>
            <w:r>
              <w:t>Identify</w:t>
            </w:r>
            <w:r w:rsidR="005B2BDA">
              <w:t xml:space="preserve"> five</w:t>
            </w:r>
            <w:r w:rsidR="00FA4DBB">
              <w:t xml:space="preserve"> risks inherent in agreeing to provide architectural services on a project at risk</w:t>
            </w:r>
            <w:r w:rsidR="00152012">
              <w:t>.</w:t>
            </w:r>
          </w:p>
        </w:tc>
        <w:tc>
          <w:tcPr>
            <w:tcW w:w="573" w:type="dxa"/>
          </w:tcPr>
          <w:p w:rsidR="00FA4DBB" w:rsidRDefault="005B2BDA" w:rsidP="0039454E">
            <w:pPr>
              <w:contextualSpacing/>
              <w:jc w:val="center"/>
            </w:pPr>
            <w:r>
              <w:t>(10</w:t>
            </w:r>
            <w:r w:rsidR="00FA4DBB">
              <w:t>)</w:t>
            </w:r>
          </w:p>
        </w:tc>
      </w:tr>
      <w:tr w:rsidR="00152012" w:rsidTr="0052098C">
        <w:tc>
          <w:tcPr>
            <w:tcW w:w="9645" w:type="dxa"/>
            <w:gridSpan w:val="4"/>
          </w:tcPr>
          <w:p w:rsidR="00152012" w:rsidRDefault="00152012" w:rsidP="0039454E">
            <w:pPr>
              <w:contextualSpacing/>
              <w:jc w:val="center"/>
            </w:pPr>
          </w:p>
        </w:tc>
      </w:tr>
      <w:tr w:rsidR="002D2D29" w:rsidTr="0052098C">
        <w:tc>
          <w:tcPr>
            <w:tcW w:w="706" w:type="dxa"/>
            <w:vMerge w:val="restart"/>
          </w:tcPr>
          <w:p w:rsidR="002D2D29" w:rsidRDefault="005B2BDA" w:rsidP="001B1F14">
            <w:pPr>
              <w:contextualSpacing/>
            </w:pPr>
            <w:r>
              <w:t>4.3</w:t>
            </w:r>
          </w:p>
        </w:tc>
        <w:tc>
          <w:tcPr>
            <w:tcW w:w="8939" w:type="dxa"/>
            <w:gridSpan w:val="3"/>
            <w:vAlign w:val="center"/>
          </w:tcPr>
          <w:p w:rsidR="002D2D29" w:rsidRDefault="005B2BDA" w:rsidP="001B1F14">
            <w:pPr>
              <w:contextualSpacing/>
              <w:jc w:val="both"/>
            </w:pPr>
            <w:r>
              <w:t>Indicate whether the</w:t>
            </w:r>
            <w:r w:rsidR="002D2D29">
              <w:t xml:space="preserve"> following statements regarding the services of an architectural professional are correct</w:t>
            </w:r>
            <w:r>
              <w:t xml:space="preserve"> or incorrect</w:t>
            </w:r>
            <w:r w:rsidR="002D2D29">
              <w:t>. Provide a motivation for each.</w:t>
            </w:r>
          </w:p>
        </w:tc>
      </w:tr>
      <w:tr w:rsidR="002D2D29" w:rsidTr="0052098C"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8939" w:type="dxa"/>
            <w:gridSpan w:val="3"/>
          </w:tcPr>
          <w:p w:rsidR="002D2D29" w:rsidRDefault="002D2D29" w:rsidP="001B1F14">
            <w:pPr>
              <w:contextualSpacing/>
              <w:jc w:val="center"/>
            </w:pPr>
          </w:p>
        </w:tc>
      </w:tr>
      <w:tr w:rsidR="002D2D29" w:rsidTr="0052098C"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</w:tcPr>
          <w:p w:rsidR="002D2D29" w:rsidRDefault="002D2D29" w:rsidP="001B1F14">
            <w:pPr>
              <w:contextualSpacing/>
              <w:jc w:val="center"/>
            </w:pPr>
            <w:r>
              <w:t>1.</w:t>
            </w:r>
          </w:p>
        </w:tc>
        <w:tc>
          <w:tcPr>
            <w:tcW w:w="7941" w:type="dxa"/>
            <w:vAlign w:val="center"/>
          </w:tcPr>
          <w:p w:rsidR="002D2D29" w:rsidRDefault="002D2D29" w:rsidP="002D2D29">
            <w:pPr>
              <w:contextualSpacing/>
              <w:jc w:val="both"/>
            </w:pPr>
            <w:r>
              <w:t>Professional Indemnity insurance must be provided by the architectural professional.</w:t>
            </w:r>
          </w:p>
        </w:tc>
        <w:tc>
          <w:tcPr>
            <w:tcW w:w="573" w:type="dxa"/>
          </w:tcPr>
          <w:p w:rsidR="002D2D29" w:rsidRDefault="002D2D29" w:rsidP="001B1F14">
            <w:pPr>
              <w:contextualSpacing/>
              <w:jc w:val="center"/>
            </w:pPr>
            <w:r>
              <w:t>(3)</w:t>
            </w:r>
          </w:p>
        </w:tc>
      </w:tr>
      <w:tr w:rsidR="002D2D29" w:rsidTr="0052098C"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8939" w:type="dxa"/>
            <w:gridSpan w:val="3"/>
          </w:tcPr>
          <w:p w:rsidR="002D2D29" w:rsidRDefault="002D2D29" w:rsidP="001B1F14">
            <w:pPr>
              <w:contextualSpacing/>
              <w:jc w:val="center"/>
            </w:pPr>
          </w:p>
        </w:tc>
      </w:tr>
      <w:tr w:rsidR="002D2D29" w:rsidTr="0052098C"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</w:tcPr>
          <w:p w:rsidR="002D2D29" w:rsidRDefault="002D2D29" w:rsidP="001B1F14">
            <w:pPr>
              <w:contextualSpacing/>
              <w:jc w:val="center"/>
            </w:pPr>
            <w:r>
              <w:t>2.</w:t>
            </w:r>
          </w:p>
        </w:tc>
        <w:tc>
          <w:tcPr>
            <w:tcW w:w="7941" w:type="dxa"/>
            <w:vAlign w:val="center"/>
          </w:tcPr>
          <w:p w:rsidR="002D2D29" w:rsidRDefault="002D2D29" w:rsidP="002D2D29">
            <w:pPr>
              <w:contextualSpacing/>
              <w:jc w:val="both"/>
            </w:pPr>
            <w:r>
              <w:t>The architectural professional will manage the contractor during construction.</w:t>
            </w:r>
          </w:p>
        </w:tc>
        <w:tc>
          <w:tcPr>
            <w:tcW w:w="573" w:type="dxa"/>
          </w:tcPr>
          <w:p w:rsidR="002D2D29" w:rsidRDefault="002D2D29" w:rsidP="001B1F14">
            <w:pPr>
              <w:contextualSpacing/>
              <w:jc w:val="center"/>
            </w:pPr>
            <w:r>
              <w:t>(3)</w:t>
            </w:r>
          </w:p>
        </w:tc>
      </w:tr>
      <w:tr w:rsidR="002D2D29" w:rsidTr="0052098C"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8939" w:type="dxa"/>
            <w:gridSpan w:val="3"/>
          </w:tcPr>
          <w:p w:rsidR="002D2D29" w:rsidRDefault="002D2D29" w:rsidP="001B1F14">
            <w:pPr>
              <w:contextualSpacing/>
              <w:jc w:val="center"/>
            </w:pPr>
          </w:p>
        </w:tc>
      </w:tr>
      <w:tr w:rsidR="002D2D29" w:rsidTr="0052098C"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</w:tcPr>
          <w:p w:rsidR="002D2D29" w:rsidRDefault="002D2D29" w:rsidP="001B1F14">
            <w:pPr>
              <w:contextualSpacing/>
              <w:jc w:val="center"/>
            </w:pPr>
            <w:r>
              <w:t>3.</w:t>
            </w:r>
          </w:p>
        </w:tc>
        <w:tc>
          <w:tcPr>
            <w:tcW w:w="7941" w:type="dxa"/>
            <w:vAlign w:val="center"/>
          </w:tcPr>
          <w:p w:rsidR="002D2D29" w:rsidRDefault="003F151E" w:rsidP="003F151E">
            <w:pPr>
              <w:contextualSpacing/>
              <w:jc w:val="both"/>
            </w:pPr>
            <w:r>
              <w:t>The service must be comparable to</w:t>
            </w:r>
            <w:r w:rsidR="005B2BDA">
              <w:t xml:space="preserve"> what</w:t>
            </w:r>
            <w:r w:rsidR="002D2D29">
              <w:t xml:space="preserve"> another architectural professional </w:t>
            </w:r>
            <w:r w:rsidR="005B2BDA">
              <w:t>would provide under the</w:t>
            </w:r>
            <w:r w:rsidR="002D2D29">
              <w:t xml:space="preserve"> same circumstances during the same period of time.</w:t>
            </w:r>
          </w:p>
        </w:tc>
        <w:tc>
          <w:tcPr>
            <w:tcW w:w="573" w:type="dxa"/>
          </w:tcPr>
          <w:p w:rsidR="002D2D29" w:rsidRDefault="002D2D29" w:rsidP="001B1F14">
            <w:pPr>
              <w:contextualSpacing/>
              <w:jc w:val="center"/>
            </w:pPr>
            <w:r>
              <w:t>(3)</w:t>
            </w:r>
          </w:p>
        </w:tc>
      </w:tr>
      <w:tr w:rsidR="00DE383E" w:rsidTr="0052098C">
        <w:tc>
          <w:tcPr>
            <w:tcW w:w="706" w:type="dxa"/>
            <w:vMerge/>
          </w:tcPr>
          <w:p w:rsidR="00DE383E" w:rsidRDefault="00DE383E" w:rsidP="001B1F14">
            <w:pPr>
              <w:contextualSpacing/>
            </w:pPr>
          </w:p>
        </w:tc>
        <w:tc>
          <w:tcPr>
            <w:tcW w:w="8939" w:type="dxa"/>
            <w:gridSpan w:val="3"/>
          </w:tcPr>
          <w:p w:rsidR="00DE383E" w:rsidRDefault="00DE383E" w:rsidP="001B1F14">
            <w:pPr>
              <w:contextualSpacing/>
              <w:jc w:val="center"/>
            </w:pPr>
          </w:p>
        </w:tc>
      </w:tr>
      <w:tr w:rsidR="002D2D29" w:rsidTr="0052098C">
        <w:tc>
          <w:tcPr>
            <w:tcW w:w="706" w:type="dxa"/>
            <w:vMerge/>
          </w:tcPr>
          <w:p w:rsidR="002D2D29" w:rsidRDefault="002D2D29" w:rsidP="001B1F14">
            <w:pPr>
              <w:contextualSpacing/>
            </w:pPr>
          </w:p>
        </w:tc>
        <w:tc>
          <w:tcPr>
            <w:tcW w:w="425" w:type="dxa"/>
          </w:tcPr>
          <w:p w:rsidR="002D2D29" w:rsidRDefault="002D2D29" w:rsidP="001B1F14">
            <w:pPr>
              <w:contextualSpacing/>
              <w:jc w:val="center"/>
            </w:pPr>
            <w:r>
              <w:t>4.</w:t>
            </w:r>
          </w:p>
        </w:tc>
        <w:tc>
          <w:tcPr>
            <w:tcW w:w="7941" w:type="dxa"/>
            <w:vAlign w:val="center"/>
          </w:tcPr>
          <w:p w:rsidR="002D2D29" w:rsidRPr="00AC2AEE" w:rsidRDefault="002D2D29" w:rsidP="00253165">
            <w:pPr>
              <w:contextualSpacing/>
              <w:jc w:val="both"/>
              <w:rPr>
                <w:color w:val="FF0000"/>
              </w:rPr>
            </w:pPr>
            <w:r w:rsidRPr="002D2D29">
              <w:t xml:space="preserve">The </w:t>
            </w:r>
            <w:r>
              <w:t xml:space="preserve">contractor </w:t>
            </w:r>
            <w:r w:rsidR="005B2BDA">
              <w:t>is n</w:t>
            </w:r>
            <w:r w:rsidR="00253165">
              <w:t>ot</w:t>
            </w:r>
            <w:r w:rsidR="005B2BDA">
              <w:t xml:space="preserve"> permitted to contribute to the services provided during the design work stage.</w:t>
            </w:r>
          </w:p>
        </w:tc>
        <w:tc>
          <w:tcPr>
            <w:tcW w:w="573" w:type="dxa"/>
          </w:tcPr>
          <w:p w:rsidR="002D2D29" w:rsidRDefault="002D2D29" w:rsidP="001B1F14">
            <w:pPr>
              <w:contextualSpacing/>
              <w:jc w:val="center"/>
            </w:pPr>
            <w:r>
              <w:t>(3)</w:t>
            </w:r>
          </w:p>
        </w:tc>
      </w:tr>
      <w:tr w:rsidR="00152012" w:rsidTr="0052098C">
        <w:tc>
          <w:tcPr>
            <w:tcW w:w="9645" w:type="dxa"/>
            <w:gridSpan w:val="4"/>
          </w:tcPr>
          <w:p w:rsidR="00152012" w:rsidRDefault="00152012" w:rsidP="001B1F14">
            <w:pPr>
              <w:contextualSpacing/>
              <w:jc w:val="center"/>
            </w:pPr>
          </w:p>
        </w:tc>
      </w:tr>
    </w:tbl>
    <w:p w:rsidR="00407416" w:rsidRDefault="00407416" w:rsidP="00540AFE">
      <w:pPr>
        <w:spacing w:after="0" w:line="240" w:lineRule="auto"/>
        <w:contextualSpacing/>
        <w:jc w:val="both"/>
      </w:pPr>
    </w:p>
    <w:p w:rsidR="003B09C4" w:rsidRDefault="003B09C4" w:rsidP="00540AFE">
      <w:pPr>
        <w:spacing w:after="0" w:line="240" w:lineRule="auto"/>
        <w:contextualSpacing/>
        <w:jc w:val="both"/>
      </w:pPr>
    </w:p>
    <w:p w:rsidR="003B09C4" w:rsidRPr="008F2399" w:rsidRDefault="003B09C4" w:rsidP="003B09C4">
      <w:pPr>
        <w:pBdr>
          <w:bottom w:val="single" w:sz="8" w:space="1" w:color="7F7F7F" w:themeColor="text1" w:themeTint="80"/>
        </w:pBdr>
        <w:spacing w:after="0" w:line="240" w:lineRule="auto"/>
        <w:contextualSpacing/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</w:pP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>QUESTION 5</w:t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/>
          <w:bCs/>
          <w:color w:val="7F7F7F" w:themeColor="text1" w:themeTint="80"/>
          <w:spacing w:val="40"/>
          <w:szCs w:val="25"/>
        </w:rPr>
        <w:tab/>
      </w:r>
      <w:r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>25</w:t>
      </w:r>
      <w:r w:rsidRPr="000E439C">
        <w:rPr>
          <w:rFonts w:ascii="Century Gothic" w:hAnsi="Century Gothic"/>
          <w:bCs/>
          <w:i/>
          <w:color w:val="7F7F7F" w:themeColor="text1" w:themeTint="80"/>
          <w:spacing w:val="20"/>
          <w:szCs w:val="25"/>
        </w:rPr>
        <w:t xml:space="preserve"> marks</w:t>
      </w:r>
    </w:p>
    <w:p w:rsidR="003B09C4" w:rsidRDefault="003B09C4" w:rsidP="00540AFE">
      <w:pPr>
        <w:spacing w:after="0" w:line="240" w:lineRule="auto"/>
        <w:contextualSpacing/>
        <w:jc w:val="both"/>
      </w:pPr>
    </w:p>
    <w:tbl>
      <w:tblPr>
        <w:tblStyle w:val="TableGrid"/>
        <w:tblW w:w="964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8366"/>
        <w:gridCol w:w="573"/>
      </w:tblGrid>
      <w:tr w:rsidR="00AE5944" w:rsidTr="0052098C">
        <w:tc>
          <w:tcPr>
            <w:tcW w:w="706" w:type="dxa"/>
          </w:tcPr>
          <w:p w:rsidR="00AE5944" w:rsidRDefault="00BE2FAA" w:rsidP="001B1F14">
            <w:pPr>
              <w:contextualSpacing/>
            </w:pPr>
            <w:r>
              <w:t>5.1</w:t>
            </w:r>
          </w:p>
        </w:tc>
        <w:tc>
          <w:tcPr>
            <w:tcW w:w="8366" w:type="dxa"/>
            <w:vAlign w:val="center"/>
          </w:tcPr>
          <w:p w:rsidR="00AE5944" w:rsidRDefault="00AE5944" w:rsidP="0050487B">
            <w:pPr>
              <w:contextualSpacing/>
              <w:jc w:val="both"/>
            </w:pPr>
            <w:r>
              <w:t>Identify five architectural services that qualify for additional professional fees.</w:t>
            </w:r>
          </w:p>
        </w:tc>
        <w:tc>
          <w:tcPr>
            <w:tcW w:w="573" w:type="dxa"/>
          </w:tcPr>
          <w:p w:rsidR="00AE5944" w:rsidRDefault="00AE5944" w:rsidP="00BE2FAA">
            <w:pPr>
              <w:contextualSpacing/>
              <w:jc w:val="center"/>
            </w:pPr>
            <w:r>
              <w:t>(</w:t>
            </w:r>
            <w:r w:rsidR="00BE2FAA">
              <w:t>10</w:t>
            </w:r>
            <w:r>
              <w:t>)</w:t>
            </w:r>
          </w:p>
        </w:tc>
      </w:tr>
      <w:tr w:rsidR="00BE2FAA" w:rsidTr="0052098C">
        <w:tc>
          <w:tcPr>
            <w:tcW w:w="9645" w:type="dxa"/>
            <w:gridSpan w:val="3"/>
          </w:tcPr>
          <w:p w:rsidR="00BE2FAA" w:rsidRDefault="00BE2FAA" w:rsidP="0080794E">
            <w:pPr>
              <w:contextualSpacing/>
              <w:jc w:val="center"/>
            </w:pPr>
          </w:p>
        </w:tc>
      </w:tr>
      <w:tr w:rsidR="00BE2FAA" w:rsidTr="0052098C">
        <w:tc>
          <w:tcPr>
            <w:tcW w:w="706" w:type="dxa"/>
          </w:tcPr>
          <w:p w:rsidR="00BE2FAA" w:rsidRDefault="00BE2FAA" w:rsidP="001B1F14">
            <w:pPr>
              <w:contextualSpacing/>
            </w:pPr>
            <w:r>
              <w:t>5.2</w:t>
            </w:r>
          </w:p>
        </w:tc>
        <w:tc>
          <w:tcPr>
            <w:tcW w:w="8366" w:type="dxa"/>
            <w:vAlign w:val="center"/>
          </w:tcPr>
          <w:p w:rsidR="00BE2FAA" w:rsidRDefault="00BE2FAA" w:rsidP="0050487B">
            <w:pPr>
              <w:contextualSpacing/>
              <w:jc w:val="both"/>
            </w:pPr>
            <w:r>
              <w:t>Which form of business entity would one consider when forming a newly established architectural practice?</w:t>
            </w:r>
          </w:p>
        </w:tc>
        <w:tc>
          <w:tcPr>
            <w:tcW w:w="573" w:type="dxa"/>
          </w:tcPr>
          <w:p w:rsidR="00BE2FAA" w:rsidRDefault="00BE2FAA" w:rsidP="00BE2FAA">
            <w:pPr>
              <w:contextualSpacing/>
              <w:jc w:val="center"/>
            </w:pPr>
            <w:r>
              <w:t>(3)</w:t>
            </w:r>
          </w:p>
        </w:tc>
      </w:tr>
      <w:tr w:rsidR="00BE2FAA" w:rsidTr="0052098C">
        <w:tc>
          <w:tcPr>
            <w:tcW w:w="706" w:type="dxa"/>
          </w:tcPr>
          <w:p w:rsidR="00BE2FAA" w:rsidRDefault="00BE2FAA" w:rsidP="001B1F14">
            <w:pPr>
              <w:contextualSpacing/>
            </w:pPr>
          </w:p>
        </w:tc>
        <w:tc>
          <w:tcPr>
            <w:tcW w:w="8366" w:type="dxa"/>
            <w:vAlign w:val="center"/>
          </w:tcPr>
          <w:p w:rsidR="00BE2FAA" w:rsidRDefault="00BE2FAA" w:rsidP="0050487B">
            <w:pPr>
              <w:contextualSpacing/>
              <w:jc w:val="both"/>
            </w:pPr>
          </w:p>
        </w:tc>
        <w:tc>
          <w:tcPr>
            <w:tcW w:w="573" w:type="dxa"/>
          </w:tcPr>
          <w:p w:rsidR="00BE2FAA" w:rsidRDefault="00BE2FAA" w:rsidP="00BE2FAA">
            <w:pPr>
              <w:contextualSpacing/>
              <w:jc w:val="center"/>
            </w:pPr>
          </w:p>
        </w:tc>
      </w:tr>
      <w:tr w:rsidR="0080794E" w:rsidTr="0052098C">
        <w:tc>
          <w:tcPr>
            <w:tcW w:w="706" w:type="dxa"/>
          </w:tcPr>
          <w:p w:rsidR="0080794E" w:rsidRDefault="00BE2FAA" w:rsidP="001B1F14">
            <w:pPr>
              <w:contextualSpacing/>
            </w:pPr>
            <w:r>
              <w:t>5.3</w:t>
            </w:r>
          </w:p>
        </w:tc>
        <w:tc>
          <w:tcPr>
            <w:tcW w:w="8366" w:type="dxa"/>
            <w:vAlign w:val="center"/>
          </w:tcPr>
          <w:p w:rsidR="0080794E" w:rsidRDefault="0080794E" w:rsidP="00190F5B">
            <w:pPr>
              <w:contextualSpacing/>
              <w:jc w:val="both"/>
            </w:pPr>
            <w:r>
              <w:t xml:space="preserve">Identify </w:t>
            </w:r>
            <w:r w:rsidR="00190F5B">
              <w:t>three</w:t>
            </w:r>
            <w:r>
              <w:t xml:space="preserve"> forms of legislation to </w:t>
            </w:r>
            <w:r w:rsidR="0050487B">
              <w:t xml:space="preserve">be </w:t>
            </w:r>
            <w:r>
              <w:t>consider</w:t>
            </w:r>
            <w:r w:rsidR="0050487B">
              <w:t>ed</w:t>
            </w:r>
            <w:r>
              <w:t xml:space="preserve"> when formalising an architectural practice as a business entity.</w:t>
            </w:r>
          </w:p>
        </w:tc>
        <w:tc>
          <w:tcPr>
            <w:tcW w:w="573" w:type="dxa"/>
          </w:tcPr>
          <w:p w:rsidR="0080794E" w:rsidRDefault="0080794E" w:rsidP="00BE2FAA">
            <w:pPr>
              <w:contextualSpacing/>
              <w:jc w:val="center"/>
            </w:pPr>
            <w:r>
              <w:t>(</w:t>
            </w:r>
            <w:r w:rsidR="00BE2FAA">
              <w:t>6</w:t>
            </w:r>
            <w:r>
              <w:t>)</w:t>
            </w:r>
          </w:p>
        </w:tc>
      </w:tr>
      <w:tr w:rsidR="000E0D9C" w:rsidTr="0052098C">
        <w:tc>
          <w:tcPr>
            <w:tcW w:w="9645" w:type="dxa"/>
            <w:gridSpan w:val="3"/>
          </w:tcPr>
          <w:p w:rsidR="000E0D9C" w:rsidRDefault="000E0D9C" w:rsidP="001B1F14">
            <w:pPr>
              <w:contextualSpacing/>
              <w:jc w:val="center"/>
            </w:pPr>
          </w:p>
        </w:tc>
      </w:tr>
      <w:tr w:rsidR="00BE2FAA" w:rsidTr="0052098C">
        <w:tc>
          <w:tcPr>
            <w:tcW w:w="706" w:type="dxa"/>
          </w:tcPr>
          <w:p w:rsidR="00BE2FAA" w:rsidRDefault="00BE2FAA" w:rsidP="001B1F14">
            <w:pPr>
              <w:contextualSpacing/>
            </w:pPr>
            <w:r>
              <w:t>5.4</w:t>
            </w:r>
          </w:p>
        </w:tc>
        <w:tc>
          <w:tcPr>
            <w:tcW w:w="8366" w:type="dxa"/>
            <w:vAlign w:val="center"/>
          </w:tcPr>
          <w:p w:rsidR="00BE2FAA" w:rsidRDefault="00BE2FAA" w:rsidP="005B5A9D">
            <w:pPr>
              <w:jc w:val="both"/>
            </w:pPr>
            <w:r>
              <w:t>Identify three</w:t>
            </w:r>
            <w:r w:rsidR="001B730A">
              <w:t xml:space="preserve"> ways in which one could appoint an employee in order to obtain additional personnel resources.</w:t>
            </w:r>
          </w:p>
        </w:tc>
        <w:tc>
          <w:tcPr>
            <w:tcW w:w="573" w:type="dxa"/>
          </w:tcPr>
          <w:p w:rsidR="00BE2FAA" w:rsidRDefault="00BE2FAA" w:rsidP="001B1F14">
            <w:pPr>
              <w:contextualSpacing/>
              <w:jc w:val="center"/>
            </w:pPr>
            <w:r>
              <w:t>(6)</w:t>
            </w:r>
          </w:p>
        </w:tc>
      </w:tr>
      <w:tr w:rsidR="0080794E" w:rsidTr="0052098C">
        <w:tc>
          <w:tcPr>
            <w:tcW w:w="9645" w:type="dxa"/>
            <w:gridSpan w:val="3"/>
          </w:tcPr>
          <w:p w:rsidR="0080794E" w:rsidRDefault="0080794E" w:rsidP="001B1F14">
            <w:pPr>
              <w:contextualSpacing/>
              <w:jc w:val="center"/>
            </w:pPr>
          </w:p>
        </w:tc>
      </w:tr>
    </w:tbl>
    <w:p w:rsidR="0080794E" w:rsidRDefault="0080794E" w:rsidP="00540AFE">
      <w:pPr>
        <w:spacing w:after="0" w:line="240" w:lineRule="auto"/>
        <w:contextualSpacing/>
        <w:jc w:val="both"/>
      </w:pPr>
    </w:p>
    <w:p w:rsidR="0080794E" w:rsidRDefault="0080794E" w:rsidP="00540AFE">
      <w:pPr>
        <w:spacing w:after="0" w:line="240" w:lineRule="auto"/>
        <w:contextualSpacing/>
        <w:jc w:val="both"/>
      </w:pPr>
    </w:p>
    <w:p w:rsidR="0080794E" w:rsidRDefault="0080794E" w:rsidP="00540AFE">
      <w:pPr>
        <w:spacing w:after="0" w:line="240" w:lineRule="auto"/>
        <w:contextualSpacing/>
        <w:jc w:val="both"/>
      </w:pPr>
    </w:p>
    <w:p w:rsidR="003B09C4" w:rsidRDefault="003B09C4" w:rsidP="00540AFE">
      <w:pPr>
        <w:spacing w:after="0" w:line="240" w:lineRule="auto"/>
        <w:contextualSpacing/>
        <w:jc w:val="both"/>
      </w:pPr>
    </w:p>
    <w:p w:rsidR="003B09C4" w:rsidRDefault="003B09C4" w:rsidP="00540AFE">
      <w:pPr>
        <w:spacing w:after="0" w:line="240" w:lineRule="auto"/>
        <w:contextualSpacing/>
        <w:jc w:val="both"/>
      </w:pPr>
    </w:p>
    <w:p w:rsidR="0039454E" w:rsidRDefault="0039454E" w:rsidP="00540AFE">
      <w:pPr>
        <w:spacing w:after="0" w:line="240" w:lineRule="auto"/>
        <w:contextualSpacing/>
        <w:jc w:val="both"/>
      </w:pPr>
    </w:p>
    <w:p w:rsidR="007D0311" w:rsidRDefault="007D0311" w:rsidP="00540AFE">
      <w:pPr>
        <w:spacing w:after="0" w:line="240" w:lineRule="auto"/>
        <w:contextualSpacing/>
        <w:jc w:val="both"/>
      </w:pPr>
      <w:bookmarkStart w:id="0" w:name="_GoBack"/>
      <w:bookmarkEnd w:id="0"/>
    </w:p>
    <w:sectPr w:rsidR="007D0311" w:rsidSect="00937DB2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1134" w:bottom="851" w:left="1134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79" w:rsidRDefault="00526779" w:rsidP="00A14DAA">
      <w:pPr>
        <w:spacing w:after="0" w:line="240" w:lineRule="auto"/>
      </w:pPr>
      <w:r>
        <w:separator/>
      </w:r>
    </w:p>
  </w:endnote>
  <w:endnote w:type="continuationSeparator" w:id="0">
    <w:p w:rsidR="00526779" w:rsidRDefault="00526779" w:rsidP="00A1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08" w:rsidRDefault="00200908" w:rsidP="00A14DAA">
    <w:pPr>
      <w:pStyle w:val="Footer"/>
      <w:ind w:right="-73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9616900"/>
      <w:docPartObj>
        <w:docPartGallery w:val="Page Numbers (Top of Page)"/>
        <w:docPartUnique/>
      </w:docPartObj>
    </w:sdtPr>
    <w:sdtEndPr/>
    <w:sdtContent>
      <w:p w:rsidR="00200908" w:rsidRPr="00B6010A" w:rsidRDefault="00200908" w:rsidP="00B6010A">
        <w:pPr>
          <w:pStyle w:val="Footer"/>
          <w:jc w:val="right"/>
        </w:pPr>
        <w:proofErr w:type="gramStart"/>
        <w:r w:rsidRPr="009F39F3">
          <w:rPr>
            <w:sz w:val="20"/>
          </w:rPr>
          <w:t>page</w:t>
        </w:r>
        <w:proofErr w:type="gramEnd"/>
        <w:r w:rsidRPr="009F39F3">
          <w:rPr>
            <w:sz w:val="20"/>
          </w:rPr>
          <w:t xml:space="preserve"> </w:t>
        </w:r>
        <w:r w:rsidRPr="009F39F3">
          <w:rPr>
            <w:bCs/>
            <w:sz w:val="20"/>
          </w:rPr>
          <w:fldChar w:fldCharType="begin"/>
        </w:r>
        <w:r w:rsidRPr="009F39F3">
          <w:rPr>
            <w:bCs/>
            <w:sz w:val="20"/>
          </w:rPr>
          <w:instrText xml:space="preserve"> PAGE </w:instrText>
        </w:r>
        <w:r w:rsidRPr="009F39F3">
          <w:rPr>
            <w:bCs/>
            <w:sz w:val="20"/>
          </w:rPr>
          <w:fldChar w:fldCharType="separate"/>
        </w:r>
        <w:r w:rsidR="0052098C">
          <w:rPr>
            <w:bCs/>
            <w:noProof/>
            <w:sz w:val="20"/>
          </w:rPr>
          <w:t>1</w:t>
        </w:r>
        <w:r w:rsidRPr="009F39F3">
          <w:rPr>
            <w:bCs/>
            <w:sz w:val="20"/>
          </w:rPr>
          <w:fldChar w:fldCharType="end"/>
        </w:r>
        <w:r w:rsidRPr="009F39F3">
          <w:rPr>
            <w:sz w:val="20"/>
          </w:rPr>
          <w:t xml:space="preserve"> of </w:t>
        </w:r>
        <w:r w:rsidRPr="009F39F3">
          <w:rPr>
            <w:bCs/>
            <w:sz w:val="20"/>
          </w:rPr>
          <w:fldChar w:fldCharType="begin"/>
        </w:r>
        <w:r w:rsidRPr="009F39F3">
          <w:rPr>
            <w:bCs/>
            <w:sz w:val="20"/>
          </w:rPr>
          <w:instrText xml:space="preserve"> NUMPAGES  </w:instrText>
        </w:r>
        <w:r w:rsidRPr="009F39F3">
          <w:rPr>
            <w:bCs/>
            <w:sz w:val="20"/>
          </w:rPr>
          <w:fldChar w:fldCharType="separate"/>
        </w:r>
        <w:r w:rsidR="0052098C">
          <w:rPr>
            <w:bCs/>
            <w:noProof/>
            <w:sz w:val="20"/>
          </w:rPr>
          <w:t>3</w:t>
        </w:r>
        <w:r w:rsidRPr="009F39F3">
          <w:rPr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79" w:rsidRDefault="00526779" w:rsidP="00A14DAA">
      <w:pPr>
        <w:spacing w:after="0" w:line="240" w:lineRule="auto"/>
      </w:pPr>
      <w:r>
        <w:separator/>
      </w:r>
    </w:p>
  </w:footnote>
  <w:footnote w:type="continuationSeparator" w:id="0">
    <w:p w:rsidR="00526779" w:rsidRDefault="00526779" w:rsidP="00A1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08" w:rsidRDefault="00200908" w:rsidP="00A14DAA">
    <w:pPr>
      <w:pStyle w:val="Header"/>
      <w:ind w:right="-7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6F5"/>
    <w:multiLevelType w:val="hybridMultilevel"/>
    <w:tmpl w:val="120A67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537"/>
    <w:multiLevelType w:val="hybridMultilevel"/>
    <w:tmpl w:val="390C0B2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E9B"/>
    <w:multiLevelType w:val="hybridMultilevel"/>
    <w:tmpl w:val="84C62DC4"/>
    <w:lvl w:ilvl="0" w:tplc="E1BEB47C">
      <w:numFmt w:val="bullet"/>
      <w:lvlText w:val="–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09B33CD7"/>
    <w:multiLevelType w:val="hybridMultilevel"/>
    <w:tmpl w:val="ABA8D00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C22"/>
    <w:multiLevelType w:val="hybridMultilevel"/>
    <w:tmpl w:val="29F26E2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C392B"/>
    <w:multiLevelType w:val="hybridMultilevel"/>
    <w:tmpl w:val="AA1461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728"/>
    <w:multiLevelType w:val="hybridMultilevel"/>
    <w:tmpl w:val="EB024D96"/>
    <w:lvl w:ilvl="0" w:tplc="C9460E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2137"/>
    <w:multiLevelType w:val="hybridMultilevel"/>
    <w:tmpl w:val="210C13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F5B0F"/>
    <w:multiLevelType w:val="hybridMultilevel"/>
    <w:tmpl w:val="84F88D9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5F8F"/>
    <w:multiLevelType w:val="hybridMultilevel"/>
    <w:tmpl w:val="613E0F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72974"/>
    <w:multiLevelType w:val="hybridMultilevel"/>
    <w:tmpl w:val="E80216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5793F"/>
    <w:multiLevelType w:val="hybridMultilevel"/>
    <w:tmpl w:val="777EAB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70D8B"/>
    <w:multiLevelType w:val="hybridMultilevel"/>
    <w:tmpl w:val="ED3E1C5C"/>
    <w:lvl w:ilvl="0" w:tplc="7678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47707"/>
    <w:multiLevelType w:val="hybridMultilevel"/>
    <w:tmpl w:val="2A7C43D6"/>
    <w:lvl w:ilvl="0" w:tplc="B7F49B1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7F7F7F" w:themeColor="text1" w:themeTint="80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C3CEE"/>
    <w:multiLevelType w:val="hybridMultilevel"/>
    <w:tmpl w:val="51FE0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656BD"/>
    <w:multiLevelType w:val="hybridMultilevel"/>
    <w:tmpl w:val="C0121F5E"/>
    <w:lvl w:ilvl="0" w:tplc="76DC7108">
      <w:start w:val="1"/>
      <w:numFmt w:val="bullet"/>
      <w:lvlText w:val="‒"/>
      <w:lvlJc w:val="left"/>
      <w:pPr>
        <w:ind w:left="720" w:hanging="360"/>
      </w:pPr>
      <w:rPr>
        <w:rFonts w:ascii="Courier New" w:hAnsi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E55E8"/>
    <w:multiLevelType w:val="hybridMultilevel"/>
    <w:tmpl w:val="C366CB3A"/>
    <w:lvl w:ilvl="0" w:tplc="56C67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A31AD"/>
    <w:multiLevelType w:val="hybridMultilevel"/>
    <w:tmpl w:val="751416B0"/>
    <w:lvl w:ilvl="0" w:tplc="B49E8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11BF0"/>
    <w:multiLevelType w:val="hybridMultilevel"/>
    <w:tmpl w:val="931E8722"/>
    <w:lvl w:ilvl="0" w:tplc="CA34B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15E72"/>
    <w:multiLevelType w:val="hybridMultilevel"/>
    <w:tmpl w:val="210C13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01E33"/>
    <w:multiLevelType w:val="hybridMultilevel"/>
    <w:tmpl w:val="847031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150FF"/>
    <w:multiLevelType w:val="hybridMultilevel"/>
    <w:tmpl w:val="0EC6FD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45DB3"/>
    <w:multiLevelType w:val="hybridMultilevel"/>
    <w:tmpl w:val="29F26E2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C1A4B"/>
    <w:multiLevelType w:val="hybridMultilevel"/>
    <w:tmpl w:val="B7F0F82C"/>
    <w:lvl w:ilvl="0" w:tplc="9C46C7C0">
      <w:start w:val="1"/>
      <w:numFmt w:val="decimal"/>
      <w:lvlText w:val="23.1.%1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A1F05"/>
    <w:multiLevelType w:val="hybridMultilevel"/>
    <w:tmpl w:val="578E4F14"/>
    <w:lvl w:ilvl="0" w:tplc="13143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737AB"/>
    <w:multiLevelType w:val="hybridMultilevel"/>
    <w:tmpl w:val="D912194C"/>
    <w:lvl w:ilvl="0" w:tplc="421EE9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15DDC"/>
    <w:multiLevelType w:val="hybridMultilevel"/>
    <w:tmpl w:val="2C5E64EE"/>
    <w:lvl w:ilvl="0" w:tplc="97646AF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331CC"/>
    <w:multiLevelType w:val="hybridMultilevel"/>
    <w:tmpl w:val="16C030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21868"/>
    <w:multiLevelType w:val="hybridMultilevel"/>
    <w:tmpl w:val="E99CC4EC"/>
    <w:lvl w:ilvl="0" w:tplc="B7F49B1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7F7F7F" w:themeColor="text1" w:themeTint="80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A314C"/>
    <w:multiLevelType w:val="hybridMultilevel"/>
    <w:tmpl w:val="CC3A7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25FB"/>
    <w:multiLevelType w:val="hybridMultilevel"/>
    <w:tmpl w:val="984AFD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C51FC"/>
    <w:multiLevelType w:val="hybridMultilevel"/>
    <w:tmpl w:val="E0E8E34C"/>
    <w:lvl w:ilvl="0" w:tplc="78388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917A3"/>
    <w:multiLevelType w:val="hybridMultilevel"/>
    <w:tmpl w:val="F81AAAF4"/>
    <w:lvl w:ilvl="0" w:tplc="AAA88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5"/>
  </w:num>
  <w:num w:numId="4">
    <w:abstractNumId w:val="10"/>
  </w:num>
  <w:num w:numId="5">
    <w:abstractNumId w:val="3"/>
  </w:num>
  <w:num w:numId="6">
    <w:abstractNumId w:val="20"/>
  </w:num>
  <w:num w:numId="7">
    <w:abstractNumId w:val="19"/>
  </w:num>
  <w:num w:numId="8">
    <w:abstractNumId w:val="9"/>
  </w:num>
  <w:num w:numId="9">
    <w:abstractNumId w:val="30"/>
  </w:num>
  <w:num w:numId="10">
    <w:abstractNumId w:val="11"/>
  </w:num>
  <w:num w:numId="11">
    <w:abstractNumId w:val="31"/>
  </w:num>
  <w:num w:numId="12">
    <w:abstractNumId w:val="22"/>
  </w:num>
  <w:num w:numId="13">
    <w:abstractNumId w:val="17"/>
  </w:num>
  <w:num w:numId="14">
    <w:abstractNumId w:val="32"/>
  </w:num>
  <w:num w:numId="15">
    <w:abstractNumId w:val="0"/>
  </w:num>
  <w:num w:numId="16">
    <w:abstractNumId w:val="21"/>
  </w:num>
  <w:num w:numId="17">
    <w:abstractNumId w:val="24"/>
  </w:num>
  <w:num w:numId="18">
    <w:abstractNumId w:val="27"/>
  </w:num>
  <w:num w:numId="19">
    <w:abstractNumId w:val="25"/>
  </w:num>
  <w:num w:numId="20">
    <w:abstractNumId w:val="26"/>
  </w:num>
  <w:num w:numId="21">
    <w:abstractNumId w:val="13"/>
  </w:num>
  <w:num w:numId="22">
    <w:abstractNumId w:val="14"/>
  </w:num>
  <w:num w:numId="23">
    <w:abstractNumId w:val="2"/>
  </w:num>
  <w:num w:numId="24">
    <w:abstractNumId w:val="1"/>
  </w:num>
  <w:num w:numId="25">
    <w:abstractNumId w:val="28"/>
  </w:num>
  <w:num w:numId="26">
    <w:abstractNumId w:val="23"/>
  </w:num>
  <w:num w:numId="27">
    <w:abstractNumId w:val="4"/>
  </w:num>
  <w:num w:numId="28">
    <w:abstractNumId w:val="16"/>
  </w:num>
  <w:num w:numId="29">
    <w:abstractNumId w:val="7"/>
  </w:num>
  <w:num w:numId="30">
    <w:abstractNumId w:val="8"/>
  </w:num>
  <w:num w:numId="31">
    <w:abstractNumId w:val="6"/>
  </w:num>
  <w:num w:numId="32">
    <w:abstractNumId w:val="1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81"/>
    <w:rsid w:val="00000DB7"/>
    <w:rsid w:val="00002AB3"/>
    <w:rsid w:val="00006235"/>
    <w:rsid w:val="00012BC8"/>
    <w:rsid w:val="00014378"/>
    <w:rsid w:val="0001711E"/>
    <w:rsid w:val="0001791C"/>
    <w:rsid w:val="00021568"/>
    <w:rsid w:val="00021D7E"/>
    <w:rsid w:val="000314C7"/>
    <w:rsid w:val="00031819"/>
    <w:rsid w:val="00033B23"/>
    <w:rsid w:val="000346DA"/>
    <w:rsid w:val="00037D39"/>
    <w:rsid w:val="000406B2"/>
    <w:rsid w:val="00042EA2"/>
    <w:rsid w:val="00043D10"/>
    <w:rsid w:val="000532B8"/>
    <w:rsid w:val="000618EE"/>
    <w:rsid w:val="000627F5"/>
    <w:rsid w:val="00062D82"/>
    <w:rsid w:val="00074222"/>
    <w:rsid w:val="00095B91"/>
    <w:rsid w:val="000A4666"/>
    <w:rsid w:val="000B11CD"/>
    <w:rsid w:val="000B2DFD"/>
    <w:rsid w:val="000B3247"/>
    <w:rsid w:val="000C42CC"/>
    <w:rsid w:val="000D13CC"/>
    <w:rsid w:val="000D21A5"/>
    <w:rsid w:val="000D2D37"/>
    <w:rsid w:val="000E042A"/>
    <w:rsid w:val="000E0D9C"/>
    <w:rsid w:val="000E0EA3"/>
    <w:rsid w:val="000E2673"/>
    <w:rsid w:val="000E439C"/>
    <w:rsid w:val="000E515F"/>
    <w:rsid w:val="000E5E7C"/>
    <w:rsid w:val="000F16F5"/>
    <w:rsid w:val="000F45DF"/>
    <w:rsid w:val="000F70F7"/>
    <w:rsid w:val="00102FDE"/>
    <w:rsid w:val="00103C86"/>
    <w:rsid w:val="00110044"/>
    <w:rsid w:val="0011158C"/>
    <w:rsid w:val="00111B16"/>
    <w:rsid w:val="00115484"/>
    <w:rsid w:val="001164A7"/>
    <w:rsid w:val="0011710D"/>
    <w:rsid w:val="00117D5E"/>
    <w:rsid w:val="00120874"/>
    <w:rsid w:val="00121E46"/>
    <w:rsid w:val="00130984"/>
    <w:rsid w:val="00133C4B"/>
    <w:rsid w:val="0013462F"/>
    <w:rsid w:val="00137401"/>
    <w:rsid w:val="001464AD"/>
    <w:rsid w:val="0015133D"/>
    <w:rsid w:val="00152012"/>
    <w:rsid w:val="0015611B"/>
    <w:rsid w:val="0015628C"/>
    <w:rsid w:val="00156AF0"/>
    <w:rsid w:val="001571B8"/>
    <w:rsid w:val="001621A9"/>
    <w:rsid w:val="00162D9B"/>
    <w:rsid w:val="00163B00"/>
    <w:rsid w:val="00165167"/>
    <w:rsid w:val="00166BA3"/>
    <w:rsid w:val="001670E4"/>
    <w:rsid w:val="00170EE2"/>
    <w:rsid w:val="00171B4F"/>
    <w:rsid w:val="00172094"/>
    <w:rsid w:val="0017249D"/>
    <w:rsid w:val="00173BFD"/>
    <w:rsid w:val="00177B5B"/>
    <w:rsid w:val="001837C6"/>
    <w:rsid w:val="00185426"/>
    <w:rsid w:val="00185C1E"/>
    <w:rsid w:val="00190512"/>
    <w:rsid w:val="00190F5B"/>
    <w:rsid w:val="001925C4"/>
    <w:rsid w:val="0019407B"/>
    <w:rsid w:val="00197F16"/>
    <w:rsid w:val="001A1783"/>
    <w:rsid w:val="001A3435"/>
    <w:rsid w:val="001B5EF1"/>
    <w:rsid w:val="001B6B67"/>
    <w:rsid w:val="001B730A"/>
    <w:rsid w:val="001C2A1B"/>
    <w:rsid w:val="001D30AA"/>
    <w:rsid w:val="001D50AC"/>
    <w:rsid w:val="001D5EA5"/>
    <w:rsid w:val="001E055E"/>
    <w:rsid w:val="001E2509"/>
    <w:rsid w:val="001E5D1F"/>
    <w:rsid w:val="001F208F"/>
    <w:rsid w:val="001F4A80"/>
    <w:rsid w:val="001F6901"/>
    <w:rsid w:val="00200908"/>
    <w:rsid w:val="00203B32"/>
    <w:rsid w:val="002054BE"/>
    <w:rsid w:val="00207C81"/>
    <w:rsid w:val="00211ED3"/>
    <w:rsid w:val="002127AD"/>
    <w:rsid w:val="0021629F"/>
    <w:rsid w:val="00217B92"/>
    <w:rsid w:val="00217DB2"/>
    <w:rsid w:val="00224EA0"/>
    <w:rsid w:val="00227EA4"/>
    <w:rsid w:val="002311F6"/>
    <w:rsid w:val="0023137B"/>
    <w:rsid w:val="0023177A"/>
    <w:rsid w:val="00234DBB"/>
    <w:rsid w:val="00241F9F"/>
    <w:rsid w:val="00244DC7"/>
    <w:rsid w:val="00245921"/>
    <w:rsid w:val="00247B36"/>
    <w:rsid w:val="0025314A"/>
    <w:rsid w:val="00253165"/>
    <w:rsid w:val="00261158"/>
    <w:rsid w:val="00261A95"/>
    <w:rsid w:val="0026401F"/>
    <w:rsid w:val="00264A04"/>
    <w:rsid w:val="00264B29"/>
    <w:rsid w:val="00270915"/>
    <w:rsid w:val="00271666"/>
    <w:rsid w:val="002733D6"/>
    <w:rsid w:val="00275C6F"/>
    <w:rsid w:val="0027627F"/>
    <w:rsid w:val="00277CA0"/>
    <w:rsid w:val="00282304"/>
    <w:rsid w:val="0028338A"/>
    <w:rsid w:val="00295DF6"/>
    <w:rsid w:val="002A04CE"/>
    <w:rsid w:val="002A1718"/>
    <w:rsid w:val="002B0387"/>
    <w:rsid w:val="002C3BF2"/>
    <w:rsid w:val="002C7D4F"/>
    <w:rsid w:val="002D033F"/>
    <w:rsid w:val="002D2D29"/>
    <w:rsid w:val="002D3A05"/>
    <w:rsid w:val="002D4338"/>
    <w:rsid w:val="002F2319"/>
    <w:rsid w:val="002F6037"/>
    <w:rsid w:val="002F7A7E"/>
    <w:rsid w:val="00302949"/>
    <w:rsid w:val="00302FA2"/>
    <w:rsid w:val="00304306"/>
    <w:rsid w:val="003079B4"/>
    <w:rsid w:val="00311E80"/>
    <w:rsid w:val="00313F27"/>
    <w:rsid w:val="003160CE"/>
    <w:rsid w:val="0032573B"/>
    <w:rsid w:val="00327821"/>
    <w:rsid w:val="003309EB"/>
    <w:rsid w:val="00331582"/>
    <w:rsid w:val="00331ACB"/>
    <w:rsid w:val="003335FA"/>
    <w:rsid w:val="0034280D"/>
    <w:rsid w:val="0036350E"/>
    <w:rsid w:val="003638B2"/>
    <w:rsid w:val="00364ECA"/>
    <w:rsid w:val="0037029B"/>
    <w:rsid w:val="003761A1"/>
    <w:rsid w:val="00377461"/>
    <w:rsid w:val="00386E02"/>
    <w:rsid w:val="003924B4"/>
    <w:rsid w:val="0039454E"/>
    <w:rsid w:val="00395D84"/>
    <w:rsid w:val="00396070"/>
    <w:rsid w:val="003A04C8"/>
    <w:rsid w:val="003A2686"/>
    <w:rsid w:val="003A27ED"/>
    <w:rsid w:val="003A3C9C"/>
    <w:rsid w:val="003B09C4"/>
    <w:rsid w:val="003B678F"/>
    <w:rsid w:val="003B688A"/>
    <w:rsid w:val="003B6AA7"/>
    <w:rsid w:val="003C055A"/>
    <w:rsid w:val="003D04C9"/>
    <w:rsid w:val="003D1547"/>
    <w:rsid w:val="003D17F5"/>
    <w:rsid w:val="003D397E"/>
    <w:rsid w:val="003D44E1"/>
    <w:rsid w:val="003E0B9E"/>
    <w:rsid w:val="003E2596"/>
    <w:rsid w:val="003E53FD"/>
    <w:rsid w:val="003E67E3"/>
    <w:rsid w:val="003E7EBB"/>
    <w:rsid w:val="003F151E"/>
    <w:rsid w:val="00400CA2"/>
    <w:rsid w:val="00407416"/>
    <w:rsid w:val="004107ED"/>
    <w:rsid w:val="00412224"/>
    <w:rsid w:val="00412582"/>
    <w:rsid w:val="00415E9F"/>
    <w:rsid w:val="00421BD7"/>
    <w:rsid w:val="00424115"/>
    <w:rsid w:val="0043159A"/>
    <w:rsid w:val="00453614"/>
    <w:rsid w:val="00455AB0"/>
    <w:rsid w:val="00460441"/>
    <w:rsid w:val="004712F1"/>
    <w:rsid w:val="004743B4"/>
    <w:rsid w:val="00475F39"/>
    <w:rsid w:val="00491D29"/>
    <w:rsid w:val="0049453C"/>
    <w:rsid w:val="00494C26"/>
    <w:rsid w:val="00494F19"/>
    <w:rsid w:val="00495E0D"/>
    <w:rsid w:val="004A2F68"/>
    <w:rsid w:val="004A58A0"/>
    <w:rsid w:val="004A5CC0"/>
    <w:rsid w:val="004B339F"/>
    <w:rsid w:val="004B375C"/>
    <w:rsid w:val="004B510C"/>
    <w:rsid w:val="004B6097"/>
    <w:rsid w:val="004B6A01"/>
    <w:rsid w:val="004C4972"/>
    <w:rsid w:val="004C4E67"/>
    <w:rsid w:val="004C704D"/>
    <w:rsid w:val="004D0B72"/>
    <w:rsid w:val="004D3C8C"/>
    <w:rsid w:val="004D5764"/>
    <w:rsid w:val="004D60D1"/>
    <w:rsid w:val="004D7231"/>
    <w:rsid w:val="004E2D68"/>
    <w:rsid w:val="004E7D67"/>
    <w:rsid w:val="004F017A"/>
    <w:rsid w:val="004F401F"/>
    <w:rsid w:val="004F5E48"/>
    <w:rsid w:val="004F6C6A"/>
    <w:rsid w:val="0050487B"/>
    <w:rsid w:val="00513C86"/>
    <w:rsid w:val="0052098C"/>
    <w:rsid w:val="00522385"/>
    <w:rsid w:val="005224F8"/>
    <w:rsid w:val="00526779"/>
    <w:rsid w:val="00527AE4"/>
    <w:rsid w:val="0053029A"/>
    <w:rsid w:val="00532692"/>
    <w:rsid w:val="00540AFE"/>
    <w:rsid w:val="00542AE0"/>
    <w:rsid w:val="00546061"/>
    <w:rsid w:val="00547C42"/>
    <w:rsid w:val="0055090A"/>
    <w:rsid w:val="005539AB"/>
    <w:rsid w:val="00557A2F"/>
    <w:rsid w:val="00562ED4"/>
    <w:rsid w:val="00564A4A"/>
    <w:rsid w:val="00564FB5"/>
    <w:rsid w:val="00566209"/>
    <w:rsid w:val="00580894"/>
    <w:rsid w:val="00584AB2"/>
    <w:rsid w:val="005868E8"/>
    <w:rsid w:val="00586CE3"/>
    <w:rsid w:val="00587FEC"/>
    <w:rsid w:val="00590113"/>
    <w:rsid w:val="00591967"/>
    <w:rsid w:val="0059218A"/>
    <w:rsid w:val="00593332"/>
    <w:rsid w:val="00596E9C"/>
    <w:rsid w:val="005A5C5B"/>
    <w:rsid w:val="005A5DA8"/>
    <w:rsid w:val="005A66D3"/>
    <w:rsid w:val="005A6C95"/>
    <w:rsid w:val="005B21ED"/>
    <w:rsid w:val="005B2BDA"/>
    <w:rsid w:val="005B2C46"/>
    <w:rsid w:val="005B56E7"/>
    <w:rsid w:val="005B5A9D"/>
    <w:rsid w:val="005B6A45"/>
    <w:rsid w:val="005B7974"/>
    <w:rsid w:val="005C24DA"/>
    <w:rsid w:val="005C2E78"/>
    <w:rsid w:val="005D037D"/>
    <w:rsid w:val="005D17B0"/>
    <w:rsid w:val="005D291E"/>
    <w:rsid w:val="005D63FD"/>
    <w:rsid w:val="005E1170"/>
    <w:rsid w:val="005E3029"/>
    <w:rsid w:val="005E4454"/>
    <w:rsid w:val="005E4975"/>
    <w:rsid w:val="005F0494"/>
    <w:rsid w:val="005F0CAD"/>
    <w:rsid w:val="005F30E6"/>
    <w:rsid w:val="005F664D"/>
    <w:rsid w:val="006005C8"/>
    <w:rsid w:val="00605387"/>
    <w:rsid w:val="006065C1"/>
    <w:rsid w:val="00610C33"/>
    <w:rsid w:val="00610EDC"/>
    <w:rsid w:val="00612619"/>
    <w:rsid w:val="00614BC4"/>
    <w:rsid w:val="00623703"/>
    <w:rsid w:val="00625DB5"/>
    <w:rsid w:val="00632EDA"/>
    <w:rsid w:val="006331D4"/>
    <w:rsid w:val="00633CC8"/>
    <w:rsid w:val="00635F6D"/>
    <w:rsid w:val="006360A3"/>
    <w:rsid w:val="006368F3"/>
    <w:rsid w:val="00637962"/>
    <w:rsid w:val="00640963"/>
    <w:rsid w:val="0064306D"/>
    <w:rsid w:val="00650943"/>
    <w:rsid w:val="006518F8"/>
    <w:rsid w:val="00654716"/>
    <w:rsid w:val="00654FA8"/>
    <w:rsid w:val="00656A6F"/>
    <w:rsid w:val="006575F9"/>
    <w:rsid w:val="006640E2"/>
    <w:rsid w:val="00673C3C"/>
    <w:rsid w:val="006740D0"/>
    <w:rsid w:val="00675315"/>
    <w:rsid w:val="00680132"/>
    <w:rsid w:val="00681970"/>
    <w:rsid w:val="00682085"/>
    <w:rsid w:val="00683444"/>
    <w:rsid w:val="00685A17"/>
    <w:rsid w:val="00690CF6"/>
    <w:rsid w:val="006A31B7"/>
    <w:rsid w:val="006A3375"/>
    <w:rsid w:val="006B0983"/>
    <w:rsid w:val="006B1B68"/>
    <w:rsid w:val="006B433A"/>
    <w:rsid w:val="006B569E"/>
    <w:rsid w:val="006C0715"/>
    <w:rsid w:val="006C098D"/>
    <w:rsid w:val="006C1B87"/>
    <w:rsid w:val="006C42B1"/>
    <w:rsid w:val="006D0C56"/>
    <w:rsid w:val="006D2CEC"/>
    <w:rsid w:val="006D6D91"/>
    <w:rsid w:val="006E2DDA"/>
    <w:rsid w:val="006E5F99"/>
    <w:rsid w:val="006E7F50"/>
    <w:rsid w:val="006F2C1C"/>
    <w:rsid w:val="006F32B7"/>
    <w:rsid w:val="006F40C2"/>
    <w:rsid w:val="006F4580"/>
    <w:rsid w:val="006F7194"/>
    <w:rsid w:val="00705FC5"/>
    <w:rsid w:val="00706126"/>
    <w:rsid w:val="00706732"/>
    <w:rsid w:val="00711C57"/>
    <w:rsid w:val="00717670"/>
    <w:rsid w:val="00725396"/>
    <w:rsid w:val="007376EE"/>
    <w:rsid w:val="0074023D"/>
    <w:rsid w:val="007520CB"/>
    <w:rsid w:val="00752FAB"/>
    <w:rsid w:val="00756C9D"/>
    <w:rsid w:val="0076169C"/>
    <w:rsid w:val="007649F3"/>
    <w:rsid w:val="00771AE3"/>
    <w:rsid w:val="0077701A"/>
    <w:rsid w:val="00784719"/>
    <w:rsid w:val="00784C4F"/>
    <w:rsid w:val="00791562"/>
    <w:rsid w:val="0079601B"/>
    <w:rsid w:val="007976EB"/>
    <w:rsid w:val="007A14BE"/>
    <w:rsid w:val="007A2231"/>
    <w:rsid w:val="007B14FF"/>
    <w:rsid w:val="007B1773"/>
    <w:rsid w:val="007B3D47"/>
    <w:rsid w:val="007C018C"/>
    <w:rsid w:val="007C1CDF"/>
    <w:rsid w:val="007C4D9C"/>
    <w:rsid w:val="007C5CE3"/>
    <w:rsid w:val="007C7B57"/>
    <w:rsid w:val="007D0311"/>
    <w:rsid w:val="007D578E"/>
    <w:rsid w:val="007D58FD"/>
    <w:rsid w:val="007D5E93"/>
    <w:rsid w:val="007D793B"/>
    <w:rsid w:val="007F3787"/>
    <w:rsid w:val="007F5400"/>
    <w:rsid w:val="007F65BE"/>
    <w:rsid w:val="007F6CB8"/>
    <w:rsid w:val="007F6E0B"/>
    <w:rsid w:val="007F6F9D"/>
    <w:rsid w:val="00802096"/>
    <w:rsid w:val="00804CCD"/>
    <w:rsid w:val="0080794E"/>
    <w:rsid w:val="0081149C"/>
    <w:rsid w:val="00811B18"/>
    <w:rsid w:val="00812828"/>
    <w:rsid w:val="008128D7"/>
    <w:rsid w:val="0081761D"/>
    <w:rsid w:val="00831813"/>
    <w:rsid w:val="00837378"/>
    <w:rsid w:val="00847311"/>
    <w:rsid w:val="00850233"/>
    <w:rsid w:val="00850FD5"/>
    <w:rsid w:val="00851C5B"/>
    <w:rsid w:val="00854A88"/>
    <w:rsid w:val="0085719D"/>
    <w:rsid w:val="00860011"/>
    <w:rsid w:val="00862300"/>
    <w:rsid w:val="00863C68"/>
    <w:rsid w:val="00865A81"/>
    <w:rsid w:val="0087198B"/>
    <w:rsid w:val="00871D1B"/>
    <w:rsid w:val="00877204"/>
    <w:rsid w:val="00882571"/>
    <w:rsid w:val="008917EA"/>
    <w:rsid w:val="00893371"/>
    <w:rsid w:val="00894BD6"/>
    <w:rsid w:val="008969AD"/>
    <w:rsid w:val="00897B40"/>
    <w:rsid w:val="00897EF8"/>
    <w:rsid w:val="008A3E89"/>
    <w:rsid w:val="008A404D"/>
    <w:rsid w:val="008A7988"/>
    <w:rsid w:val="008B0998"/>
    <w:rsid w:val="008B1230"/>
    <w:rsid w:val="008B1D57"/>
    <w:rsid w:val="008B4EAC"/>
    <w:rsid w:val="008B62B3"/>
    <w:rsid w:val="008B6DC5"/>
    <w:rsid w:val="008C0456"/>
    <w:rsid w:val="008C0BB9"/>
    <w:rsid w:val="008C18A4"/>
    <w:rsid w:val="008C207B"/>
    <w:rsid w:val="008D2377"/>
    <w:rsid w:val="008D4D4A"/>
    <w:rsid w:val="008D5CD7"/>
    <w:rsid w:val="008F168C"/>
    <w:rsid w:val="008F1CA9"/>
    <w:rsid w:val="008F2399"/>
    <w:rsid w:val="008F5050"/>
    <w:rsid w:val="008F63E3"/>
    <w:rsid w:val="008F7F5E"/>
    <w:rsid w:val="00900586"/>
    <w:rsid w:val="00902B9D"/>
    <w:rsid w:val="009043F5"/>
    <w:rsid w:val="0090620A"/>
    <w:rsid w:val="0091239A"/>
    <w:rsid w:val="00922E4C"/>
    <w:rsid w:val="00925C6F"/>
    <w:rsid w:val="00926C8C"/>
    <w:rsid w:val="00927B85"/>
    <w:rsid w:val="009312D5"/>
    <w:rsid w:val="009326B0"/>
    <w:rsid w:val="0093275B"/>
    <w:rsid w:val="0093276A"/>
    <w:rsid w:val="009338D7"/>
    <w:rsid w:val="009341E4"/>
    <w:rsid w:val="0093550D"/>
    <w:rsid w:val="009369CC"/>
    <w:rsid w:val="00936A2F"/>
    <w:rsid w:val="00937DB2"/>
    <w:rsid w:val="00944226"/>
    <w:rsid w:val="00951001"/>
    <w:rsid w:val="009510C5"/>
    <w:rsid w:val="00952ED4"/>
    <w:rsid w:val="00953B17"/>
    <w:rsid w:val="00954237"/>
    <w:rsid w:val="00956DDD"/>
    <w:rsid w:val="00963315"/>
    <w:rsid w:val="0096479D"/>
    <w:rsid w:val="00964D5B"/>
    <w:rsid w:val="00965679"/>
    <w:rsid w:val="00972A64"/>
    <w:rsid w:val="00974089"/>
    <w:rsid w:val="0098036C"/>
    <w:rsid w:val="00980570"/>
    <w:rsid w:val="00981E70"/>
    <w:rsid w:val="00982709"/>
    <w:rsid w:val="00982FCB"/>
    <w:rsid w:val="00984F23"/>
    <w:rsid w:val="009856F6"/>
    <w:rsid w:val="00987733"/>
    <w:rsid w:val="009904A7"/>
    <w:rsid w:val="0099214C"/>
    <w:rsid w:val="00992C92"/>
    <w:rsid w:val="00994FD6"/>
    <w:rsid w:val="009963A9"/>
    <w:rsid w:val="009A068F"/>
    <w:rsid w:val="009A4177"/>
    <w:rsid w:val="009B1243"/>
    <w:rsid w:val="009B14F8"/>
    <w:rsid w:val="009B375A"/>
    <w:rsid w:val="009B76FA"/>
    <w:rsid w:val="009B7FA8"/>
    <w:rsid w:val="009C2BDB"/>
    <w:rsid w:val="009C3D93"/>
    <w:rsid w:val="009C4C41"/>
    <w:rsid w:val="009C73CF"/>
    <w:rsid w:val="009D3250"/>
    <w:rsid w:val="009F422C"/>
    <w:rsid w:val="009F5B0A"/>
    <w:rsid w:val="009F6F75"/>
    <w:rsid w:val="00A012EB"/>
    <w:rsid w:val="00A013CB"/>
    <w:rsid w:val="00A020CB"/>
    <w:rsid w:val="00A0527B"/>
    <w:rsid w:val="00A12EBC"/>
    <w:rsid w:val="00A14DAA"/>
    <w:rsid w:val="00A26809"/>
    <w:rsid w:val="00A308F6"/>
    <w:rsid w:val="00A40501"/>
    <w:rsid w:val="00A40B9A"/>
    <w:rsid w:val="00A41715"/>
    <w:rsid w:val="00A4692E"/>
    <w:rsid w:val="00A5261E"/>
    <w:rsid w:val="00A52A60"/>
    <w:rsid w:val="00A53052"/>
    <w:rsid w:val="00A54FB1"/>
    <w:rsid w:val="00A572E3"/>
    <w:rsid w:val="00A64CE8"/>
    <w:rsid w:val="00A72149"/>
    <w:rsid w:val="00A8526F"/>
    <w:rsid w:val="00A90091"/>
    <w:rsid w:val="00A91B63"/>
    <w:rsid w:val="00A92687"/>
    <w:rsid w:val="00A963EA"/>
    <w:rsid w:val="00AA1B4F"/>
    <w:rsid w:val="00AA227F"/>
    <w:rsid w:val="00AA4B84"/>
    <w:rsid w:val="00AB550F"/>
    <w:rsid w:val="00AB5FCC"/>
    <w:rsid w:val="00AB74DD"/>
    <w:rsid w:val="00AC2CD9"/>
    <w:rsid w:val="00AC5862"/>
    <w:rsid w:val="00AD1DA1"/>
    <w:rsid w:val="00AD613A"/>
    <w:rsid w:val="00AD7D00"/>
    <w:rsid w:val="00AE09CD"/>
    <w:rsid w:val="00AE4486"/>
    <w:rsid w:val="00AE5944"/>
    <w:rsid w:val="00AF6CDD"/>
    <w:rsid w:val="00B00AE1"/>
    <w:rsid w:val="00B0560C"/>
    <w:rsid w:val="00B05F0D"/>
    <w:rsid w:val="00B06636"/>
    <w:rsid w:val="00B067C6"/>
    <w:rsid w:val="00B117BB"/>
    <w:rsid w:val="00B1258D"/>
    <w:rsid w:val="00B16AB2"/>
    <w:rsid w:val="00B223E6"/>
    <w:rsid w:val="00B305BB"/>
    <w:rsid w:val="00B44D92"/>
    <w:rsid w:val="00B44E57"/>
    <w:rsid w:val="00B50F78"/>
    <w:rsid w:val="00B52EE5"/>
    <w:rsid w:val="00B53C03"/>
    <w:rsid w:val="00B54126"/>
    <w:rsid w:val="00B57F54"/>
    <w:rsid w:val="00B6010A"/>
    <w:rsid w:val="00B60D7A"/>
    <w:rsid w:val="00B61910"/>
    <w:rsid w:val="00B6376F"/>
    <w:rsid w:val="00B6432B"/>
    <w:rsid w:val="00B71779"/>
    <w:rsid w:val="00B76917"/>
    <w:rsid w:val="00B83489"/>
    <w:rsid w:val="00B86154"/>
    <w:rsid w:val="00B914A5"/>
    <w:rsid w:val="00B91EBE"/>
    <w:rsid w:val="00B92A3C"/>
    <w:rsid w:val="00B9517F"/>
    <w:rsid w:val="00B96C79"/>
    <w:rsid w:val="00B96D83"/>
    <w:rsid w:val="00BA30D1"/>
    <w:rsid w:val="00BA6BC2"/>
    <w:rsid w:val="00BA7F9C"/>
    <w:rsid w:val="00BA7FE4"/>
    <w:rsid w:val="00BB615C"/>
    <w:rsid w:val="00BC697F"/>
    <w:rsid w:val="00BD12CA"/>
    <w:rsid w:val="00BD273B"/>
    <w:rsid w:val="00BD27EA"/>
    <w:rsid w:val="00BD4E7F"/>
    <w:rsid w:val="00BE2FAA"/>
    <w:rsid w:val="00BF115E"/>
    <w:rsid w:val="00BF27D4"/>
    <w:rsid w:val="00BF47BE"/>
    <w:rsid w:val="00BF7EDD"/>
    <w:rsid w:val="00C02604"/>
    <w:rsid w:val="00C066B9"/>
    <w:rsid w:val="00C069C0"/>
    <w:rsid w:val="00C113E0"/>
    <w:rsid w:val="00C12076"/>
    <w:rsid w:val="00C12AED"/>
    <w:rsid w:val="00C12E81"/>
    <w:rsid w:val="00C1319F"/>
    <w:rsid w:val="00C22261"/>
    <w:rsid w:val="00C45393"/>
    <w:rsid w:val="00C53EFA"/>
    <w:rsid w:val="00C5426B"/>
    <w:rsid w:val="00C54C0D"/>
    <w:rsid w:val="00C564DA"/>
    <w:rsid w:val="00C665BC"/>
    <w:rsid w:val="00C80609"/>
    <w:rsid w:val="00C830A4"/>
    <w:rsid w:val="00C83728"/>
    <w:rsid w:val="00C86469"/>
    <w:rsid w:val="00CA3609"/>
    <w:rsid w:val="00CA64AB"/>
    <w:rsid w:val="00CB7F7C"/>
    <w:rsid w:val="00CC4CF4"/>
    <w:rsid w:val="00CC6B2A"/>
    <w:rsid w:val="00CC7B25"/>
    <w:rsid w:val="00CD1834"/>
    <w:rsid w:val="00CD7012"/>
    <w:rsid w:val="00CD727F"/>
    <w:rsid w:val="00CD7657"/>
    <w:rsid w:val="00CE1B81"/>
    <w:rsid w:val="00CE2354"/>
    <w:rsid w:val="00CE25EB"/>
    <w:rsid w:val="00CF09D7"/>
    <w:rsid w:val="00CF4585"/>
    <w:rsid w:val="00CF4B76"/>
    <w:rsid w:val="00CF7069"/>
    <w:rsid w:val="00CF7194"/>
    <w:rsid w:val="00D065F3"/>
    <w:rsid w:val="00D072A4"/>
    <w:rsid w:val="00D11AD6"/>
    <w:rsid w:val="00D127E7"/>
    <w:rsid w:val="00D24DAD"/>
    <w:rsid w:val="00D308C3"/>
    <w:rsid w:val="00D31557"/>
    <w:rsid w:val="00D41CEB"/>
    <w:rsid w:val="00D506F4"/>
    <w:rsid w:val="00D50CB3"/>
    <w:rsid w:val="00D51C92"/>
    <w:rsid w:val="00D51E27"/>
    <w:rsid w:val="00D52237"/>
    <w:rsid w:val="00D52554"/>
    <w:rsid w:val="00D52CCF"/>
    <w:rsid w:val="00D558D8"/>
    <w:rsid w:val="00D561B3"/>
    <w:rsid w:val="00D5725F"/>
    <w:rsid w:val="00D57DE3"/>
    <w:rsid w:val="00D614B3"/>
    <w:rsid w:val="00D615BA"/>
    <w:rsid w:val="00D712C8"/>
    <w:rsid w:val="00D71FA9"/>
    <w:rsid w:val="00D74BE9"/>
    <w:rsid w:val="00D904DF"/>
    <w:rsid w:val="00D90D40"/>
    <w:rsid w:val="00D927BA"/>
    <w:rsid w:val="00D93617"/>
    <w:rsid w:val="00D9628E"/>
    <w:rsid w:val="00DA3A4F"/>
    <w:rsid w:val="00DA511B"/>
    <w:rsid w:val="00DB67A1"/>
    <w:rsid w:val="00DB742F"/>
    <w:rsid w:val="00DC1246"/>
    <w:rsid w:val="00DC577D"/>
    <w:rsid w:val="00DC6933"/>
    <w:rsid w:val="00DC6C9F"/>
    <w:rsid w:val="00DD0BC3"/>
    <w:rsid w:val="00DD2D1C"/>
    <w:rsid w:val="00DD6BFA"/>
    <w:rsid w:val="00DD7C3F"/>
    <w:rsid w:val="00DE383E"/>
    <w:rsid w:val="00DF0248"/>
    <w:rsid w:val="00DF2C69"/>
    <w:rsid w:val="00DF2F95"/>
    <w:rsid w:val="00DF3702"/>
    <w:rsid w:val="00DF5748"/>
    <w:rsid w:val="00DF6CFB"/>
    <w:rsid w:val="00E016CF"/>
    <w:rsid w:val="00E070E6"/>
    <w:rsid w:val="00E17563"/>
    <w:rsid w:val="00E218E8"/>
    <w:rsid w:val="00E22314"/>
    <w:rsid w:val="00E26DDC"/>
    <w:rsid w:val="00E31086"/>
    <w:rsid w:val="00E4162B"/>
    <w:rsid w:val="00E417D2"/>
    <w:rsid w:val="00E44DEF"/>
    <w:rsid w:val="00E6027B"/>
    <w:rsid w:val="00E606EF"/>
    <w:rsid w:val="00E60CB3"/>
    <w:rsid w:val="00E6425E"/>
    <w:rsid w:val="00E670A3"/>
    <w:rsid w:val="00E721D2"/>
    <w:rsid w:val="00E7345F"/>
    <w:rsid w:val="00E74911"/>
    <w:rsid w:val="00E75C00"/>
    <w:rsid w:val="00E7621D"/>
    <w:rsid w:val="00E808B2"/>
    <w:rsid w:val="00E82668"/>
    <w:rsid w:val="00E8378A"/>
    <w:rsid w:val="00E84884"/>
    <w:rsid w:val="00E874D7"/>
    <w:rsid w:val="00E92B0F"/>
    <w:rsid w:val="00E92D5C"/>
    <w:rsid w:val="00EA3E8A"/>
    <w:rsid w:val="00EA46B2"/>
    <w:rsid w:val="00EB030A"/>
    <w:rsid w:val="00EB1869"/>
    <w:rsid w:val="00EB3409"/>
    <w:rsid w:val="00EB3547"/>
    <w:rsid w:val="00EB4E70"/>
    <w:rsid w:val="00EB5235"/>
    <w:rsid w:val="00EB7DF9"/>
    <w:rsid w:val="00EC6BD4"/>
    <w:rsid w:val="00EC7ECB"/>
    <w:rsid w:val="00ED1DAF"/>
    <w:rsid w:val="00ED4529"/>
    <w:rsid w:val="00EE1DF2"/>
    <w:rsid w:val="00EE2F66"/>
    <w:rsid w:val="00EE4E91"/>
    <w:rsid w:val="00EE5FAA"/>
    <w:rsid w:val="00F02667"/>
    <w:rsid w:val="00F04F98"/>
    <w:rsid w:val="00F10EC9"/>
    <w:rsid w:val="00F15336"/>
    <w:rsid w:val="00F17E17"/>
    <w:rsid w:val="00F25688"/>
    <w:rsid w:val="00F2624E"/>
    <w:rsid w:val="00F27F43"/>
    <w:rsid w:val="00F3382B"/>
    <w:rsid w:val="00F3504F"/>
    <w:rsid w:val="00F40D52"/>
    <w:rsid w:val="00F41B95"/>
    <w:rsid w:val="00F448A1"/>
    <w:rsid w:val="00F46BC1"/>
    <w:rsid w:val="00F50191"/>
    <w:rsid w:val="00F52EC0"/>
    <w:rsid w:val="00F66214"/>
    <w:rsid w:val="00F77125"/>
    <w:rsid w:val="00F818B6"/>
    <w:rsid w:val="00F82B6D"/>
    <w:rsid w:val="00F84137"/>
    <w:rsid w:val="00F87E41"/>
    <w:rsid w:val="00F91DB2"/>
    <w:rsid w:val="00F95236"/>
    <w:rsid w:val="00F97BE8"/>
    <w:rsid w:val="00FA1198"/>
    <w:rsid w:val="00FA2699"/>
    <w:rsid w:val="00FA3E6B"/>
    <w:rsid w:val="00FA426C"/>
    <w:rsid w:val="00FA48B6"/>
    <w:rsid w:val="00FA4DBB"/>
    <w:rsid w:val="00FC3433"/>
    <w:rsid w:val="00FC516B"/>
    <w:rsid w:val="00FC58CC"/>
    <w:rsid w:val="00FD4743"/>
    <w:rsid w:val="00FD4781"/>
    <w:rsid w:val="00FE665F"/>
    <w:rsid w:val="00FF01B7"/>
    <w:rsid w:val="00FF59C1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1AD8D-DD42-4CB3-ACC7-0DD988C6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4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AA"/>
  </w:style>
  <w:style w:type="paragraph" w:styleId="Footer">
    <w:name w:val="footer"/>
    <w:basedOn w:val="Normal"/>
    <w:link w:val="FooterChar"/>
    <w:uiPriority w:val="99"/>
    <w:unhideWhenUsed/>
    <w:rsid w:val="00A14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AA"/>
  </w:style>
  <w:style w:type="table" w:styleId="TableGrid">
    <w:name w:val="Table Grid"/>
    <w:basedOn w:val="TableNormal"/>
    <w:uiPriority w:val="39"/>
    <w:rsid w:val="0026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IABody">
    <w:name w:val="SAIA Body"/>
    <w:basedOn w:val="Normal"/>
    <w:qFormat/>
    <w:rsid w:val="002054BE"/>
    <w:pPr>
      <w:widowControl w:val="0"/>
      <w:suppressAutoHyphens/>
      <w:autoSpaceDE w:val="0"/>
      <w:autoSpaceDN w:val="0"/>
      <w:adjustRightInd w:val="0"/>
      <w:spacing w:after="110" w:line="288" w:lineRule="auto"/>
      <w:jc w:val="both"/>
      <w:textAlignment w:val="center"/>
    </w:pPr>
    <w:rPr>
      <w:rFonts w:ascii="Arial" w:eastAsiaTheme="minorEastAsia" w:hAnsi="Arial" w:cs="Arial-BoldMT"/>
      <w:bCs/>
      <w:spacing w:val="18"/>
      <w:sz w:val="18"/>
      <w:lang w:val="en-US"/>
    </w:rPr>
  </w:style>
  <w:style w:type="paragraph" w:customStyle="1" w:styleId="BasicParagraph">
    <w:name w:val="[Basic Paragraph]"/>
    <w:basedOn w:val="Normal"/>
    <w:uiPriority w:val="99"/>
    <w:rsid w:val="00A572E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64A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E362-CD4C-450B-A3BB-1A58BF04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Paulsen</dc:creator>
  <cp:keywords/>
  <dc:description/>
  <cp:lastModifiedBy>Emile</cp:lastModifiedBy>
  <cp:revision>5</cp:revision>
  <cp:lastPrinted>2019-05-03T11:28:00Z</cp:lastPrinted>
  <dcterms:created xsi:type="dcterms:W3CDTF">2020-03-26T05:35:00Z</dcterms:created>
  <dcterms:modified xsi:type="dcterms:W3CDTF">2020-03-26T05:58:00Z</dcterms:modified>
</cp:coreProperties>
</file>