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E8" w:rsidRPr="00A64CE8" w:rsidRDefault="00491D29" w:rsidP="00491D29">
      <w:pPr>
        <w:spacing w:after="0" w:line="240" w:lineRule="auto"/>
        <w:ind w:left="1843"/>
        <w:contextualSpacing/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</w:pPr>
      <w:r>
        <w:rPr>
          <w:noProof/>
          <w:lang w:eastAsia="en-ZA"/>
        </w:rPr>
        <w:drawing>
          <wp:anchor distT="0" distB="0" distL="114300" distR="114300" simplePos="0" relativeHeight="251663360" behindDoc="0" locked="0" layoutInCell="1" allowOverlap="1" wp14:anchorId="2ACB631E" wp14:editId="57A64EEA">
            <wp:simplePos x="0" y="0"/>
            <wp:positionH relativeFrom="column">
              <wp:posOffset>19314</wp:posOffset>
            </wp:positionH>
            <wp:positionV relativeFrom="paragraph">
              <wp:posOffset>16510</wp:posOffset>
            </wp:positionV>
            <wp:extent cx="931545" cy="931545"/>
            <wp:effectExtent l="0" t="0" r="1905" b="1905"/>
            <wp:wrapThrough wrapText="bothSides">
              <wp:wrapPolygon edited="0">
                <wp:start x="0" y="0"/>
                <wp:lineTo x="0" y="21202"/>
                <wp:lineTo x="21202" y="21202"/>
                <wp:lineTo x="21202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AP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D91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>South African Council for the Architectural Profession</w:t>
      </w:r>
    </w:p>
    <w:p w:rsidR="006D6D91" w:rsidRPr="000E515F" w:rsidRDefault="006D6D91" w:rsidP="00491D29">
      <w:pPr>
        <w:spacing w:after="0" w:line="240" w:lineRule="auto"/>
        <w:ind w:left="1843"/>
        <w:contextualSpacing/>
        <w:rPr>
          <w:sz w:val="16"/>
        </w:rPr>
      </w:pPr>
    </w:p>
    <w:p w:rsidR="006D6D91" w:rsidRDefault="006D6D91" w:rsidP="00491D29">
      <w:pPr>
        <w:spacing w:after="0" w:line="240" w:lineRule="auto"/>
        <w:ind w:left="1843"/>
        <w:contextualSpacing/>
        <w:rPr>
          <w:rFonts w:ascii="Century Gothic" w:hAnsi="Century Gothic"/>
          <w:b/>
          <w:bCs/>
          <w:color w:val="7F7F7F" w:themeColor="text1" w:themeTint="80"/>
          <w:spacing w:val="40"/>
          <w:sz w:val="24"/>
          <w:szCs w:val="25"/>
        </w:rPr>
      </w:pPr>
      <w:r w:rsidRPr="006D6D91">
        <w:rPr>
          <w:rFonts w:ascii="Century Gothic" w:hAnsi="Century Gothic"/>
          <w:b/>
          <w:bCs/>
          <w:color w:val="7F7F7F" w:themeColor="text1" w:themeTint="80"/>
          <w:spacing w:val="40"/>
          <w:sz w:val="24"/>
          <w:szCs w:val="25"/>
        </w:rPr>
        <w:t>PROF</w:t>
      </w:r>
      <w:r>
        <w:rPr>
          <w:rFonts w:ascii="Century Gothic" w:hAnsi="Century Gothic"/>
          <w:b/>
          <w:bCs/>
          <w:color w:val="7F7F7F" w:themeColor="text1" w:themeTint="80"/>
          <w:spacing w:val="40"/>
          <w:sz w:val="24"/>
          <w:szCs w:val="25"/>
        </w:rPr>
        <w:t>E</w:t>
      </w:r>
      <w:r w:rsidRPr="003E67E3">
        <w:rPr>
          <w:rFonts w:ascii="Century Gothic" w:hAnsi="Century Gothic"/>
          <w:b/>
          <w:bCs/>
          <w:color w:val="7F7F7F" w:themeColor="text1" w:themeTint="80"/>
          <w:spacing w:val="40"/>
          <w:sz w:val="24"/>
          <w:szCs w:val="25"/>
        </w:rPr>
        <w:t>SSI</w:t>
      </w:r>
      <w:r>
        <w:rPr>
          <w:rFonts w:ascii="Century Gothic" w:hAnsi="Century Gothic"/>
          <w:b/>
          <w:bCs/>
          <w:color w:val="7F7F7F" w:themeColor="text1" w:themeTint="80"/>
          <w:spacing w:val="40"/>
          <w:sz w:val="24"/>
          <w:szCs w:val="25"/>
        </w:rPr>
        <w:t>ONAL PRACTICE EXAMINATION</w:t>
      </w:r>
    </w:p>
    <w:p w:rsidR="006D6D91" w:rsidRPr="006D6D91" w:rsidRDefault="009B76FA" w:rsidP="00491D29">
      <w:pPr>
        <w:spacing w:after="0" w:line="240" w:lineRule="auto"/>
        <w:ind w:left="1843"/>
        <w:contextualSpacing/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</w:pP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>25 MARCH 2020</w:t>
      </w:r>
    </w:p>
    <w:p w:rsidR="006D6D91" w:rsidRPr="000E515F" w:rsidRDefault="006D6D91" w:rsidP="00491D29">
      <w:pPr>
        <w:spacing w:after="0" w:line="240" w:lineRule="auto"/>
        <w:ind w:left="1843"/>
        <w:contextualSpacing/>
        <w:rPr>
          <w:sz w:val="16"/>
        </w:rPr>
      </w:pPr>
    </w:p>
    <w:p w:rsidR="006D6D91" w:rsidRPr="006D6D91" w:rsidRDefault="00B223E6" w:rsidP="00491D29">
      <w:pPr>
        <w:spacing w:after="0" w:line="240" w:lineRule="auto"/>
        <w:ind w:left="1843"/>
        <w:contextualSpacing/>
        <w:rPr>
          <w:rFonts w:ascii="Century Gothic" w:hAnsi="Century Gothic"/>
          <w:b/>
          <w:bCs/>
          <w:color w:val="7F7F7F" w:themeColor="text1" w:themeTint="80"/>
          <w:spacing w:val="40"/>
          <w:sz w:val="28"/>
          <w:szCs w:val="25"/>
        </w:rPr>
      </w:pPr>
      <w:r>
        <w:rPr>
          <w:rFonts w:ascii="Century Gothic" w:hAnsi="Century Gothic"/>
          <w:b/>
          <w:bCs/>
          <w:color w:val="7F7F7F" w:themeColor="text1" w:themeTint="80"/>
          <w:spacing w:val="40"/>
          <w:sz w:val="28"/>
          <w:szCs w:val="25"/>
        </w:rPr>
        <w:t xml:space="preserve">PAPER 1 </w:t>
      </w:r>
      <w:r w:rsidRPr="00B223E6">
        <w:rPr>
          <w:rFonts w:ascii="Century Gothic" w:hAnsi="Century Gothic"/>
          <w:b/>
          <w:bCs/>
          <w:color w:val="FF0000"/>
          <w:spacing w:val="40"/>
          <w:szCs w:val="25"/>
        </w:rPr>
        <w:t>–</w:t>
      </w:r>
      <w:r>
        <w:rPr>
          <w:rFonts w:ascii="Century Gothic" w:hAnsi="Century Gothic"/>
          <w:b/>
          <w:bCs/>
          <w:color w:val="FF0000"/>
          <w:spacing w:val="40"/>
          <w:szCs w:val="25"/>
        </w:rPr>
        <w:t xml:space="preserve"> </w:t>
      </w:r>
      <w:r w:rsidR="003B688A">
        <w:rPr>
          <w:rFonts w:ascii="Century Gothic" w:hAnsi="Century Gothic"/>
          <w:b/>
          <w:bCs/>
          <w:color w:val="FF0000"/>
          <w:spacing w:val="40"/>
          <w:szCs w:val="25"/>
        </w:rPr>
        <w:t>MEMORANDUM</w:t>
      </w:r>
    </w:p>
    <w:p w:rsidR="006D6D91" w:rsidRDefault="006D6D91" w:rsidP="00E44DEF">
      <w:pPr>
        <w:pBdr>
          <w:bottom w:val="single" w:sz="8" w:space="1" w:color="7F7F7F" w:themeColor="text1" w:themeTint="80"/>
        </w:pBdr>
        <w:spacing w:after="0" w:line="240" w:lineRule="auto"/>
        <w:contextualSpacing/>
        <w:jc w:val="both"/>
      </w:pPr>
    </w:p>
    <w:p w:rsidR="00952ED4" w:rsidRDefault="00952ED4" w:rsidP="00415E9F">
      <w:pPr>
        <w:spacing w:after="0" w:line="240" w:lineRule="auto"/>
        <w:contextualSpacing/>
        <w:jc w:val="both"/>
      </w:pPr>
    </w:p>
    <w:p w:rsidR="00F84137" w:rsidRDefault="003E67E3" w:rsidP="0039454E">
      <w:pPr>
        <w:pStyle w:val="ListParagraph"/>
        <w:numPr>
          <w:ilvl w:val="0"/>
          <w:numId w:val="30"/>
        </w:numPr>
        <w:spacing w:after="0" w:line="240" w:lineRule="auto"/>
        <w:ind w:left="284" w:hanging="284"/>
        <w:jc w:val="both"/>
      </w:pPr>
      <w:r w:rsidRPr="00952ED4">
        <w:t>This is closed book paper</w:t>
      </w:r>
      <w:r w:rsidR="00F84137">
        <w:t xml:space="preserve">. </w:t>
      </w:r>
    </w:p>
    <w:p w:rsidR="003E67E3" w:rsidRPr="00952ED4" w:rsidRDefault="00F84137" w:rsidP="003E67E3">
      <w:pPr>
        <w:pStyle w:val="ListParagraph"/>
        <w:numPr>
          <w:ilvl w:val="0"/>
          <w:numId w:val="30"/>
        </w:numPr>
        <w:spacing w:after="0" w:line="240" w:lineRule="auto"/>
        <w:ind w:left="284" w:hanging="284"/>
        <w:jc w:val="both"/>
      </w:pPr>
      <w:r>
        <w:t>C</w:t>
      </w:r>
      <w:r w:rsidR="003E67E3" w:rsidRPr="00952ED4">
        <w:t>andidates must answer all questions.</w:t>
      </w:r>
    </w:p>
    <w:p w:rsidR="003E67E3" w:rsidRPr="00952ED4" w:rsidRDefault="003E67E3" w:rsidP="003E67E3">
      <w:pPr>
        <w:pStyle w:val="ListParagraph"/>
        <w:numPr>
          <w:ilvl w:val="0"/>
          <w:numId w:val="30"/>
        </w:numPr>
        <w:spacing w:after="0" w:line="240" w:lineRule="auto"/>
        <w:ind w:left="284" w:hanging="284"/>
        <w:jc w:val="both"/>
      </w:pPr>
      <w:r w:rsidRPr="00952ED4">
        <w:t>Total marks for paper 1</w:t>
      </w:r>
      <w:r w:rsidRPr="00952ED4">
        <w:tab/>
      </w:r>
      <w:r w:rsidRPr="00952ED4">
        <w:tab/>
        <w:t>–</w:t>
      </w:r>
      <w:r w:rsidRPr="00952ED4">
        <w:tab/>
      </w:r>
      <w:r w:rsidR="006B433A">
        <w:rPr>
          <w:b/>
        </w:rPr>
        <w:t>150</w:t>
      </w:r>
      <w:r w:rsidRPr="00952ED4">
        <w:rPr>
          <w:b/>
        </w:rPr>
        <w:t xml:space="preserve"> marks</w:t>
      </w:r>
    </w:p>
    <w:p w:rsidR="003E67E3" w:rsidRPr="00952ED4" w:rsidRDefault="003E67E3" w:rsidP="00415E9F">
      <w:pPr>
        <w:pStyle w:val="ListParagraph"/>
        <w:numPr>
          <w:ilvl w:val="0"/>
          <w:numId w:val="30"/>
        </w:numPr>
        <w:spacing w:after="0" w:line="240" w:lineRule="auto"/>
        <w:ind w:left="284" w:hanging="284"/>
        <w:jc w:val="both"/>
      </w:pPr>
      <w:r w:rsidRPr="00952ED4">
        <w:t>Time allowed for paper 1</w:t>
      </w:r>
      <w:r w:rsidRPr="00952ED4">
        <w:tab/>
      </w:r>
      <w:r w:rsidRPr="00952ED4">
        <w:tab/>
        <w:t>–</w:t>
      </w:r>
      <w:r w:rsidRPr="00952ED4">
        <w:tab/>
      </w:r>
      <w:r w:rsidRPr="00952ED4">
        <w:rPr>
          <w:b/>
        </w:rPr>
        <w:t>3 hours</w:t>
      </w:r>
    </w:p>
    <w:p w:rsidR="003E67E3" w:rsidRPr="00952ED4" w:rsidRDefault="003E67E3" w:rsidP="00415E9F">
      <w:pPr>
        <w:pStyle w:val="ListParagraph"/>
        <w:numPr>
          <w:ilvl w:val="0"/>
          <w:numId w:val="30"/>
        </w:numPr>
        <w:spacing w:after="0" w:line="240" w:lineRule="auto"/>
        <w:ind w:left="284" w:hanging="284"/>
        <w:jc w:val="both"/>
      </w:pPr>
      <w:r w:rsidRPr="00952ED4">
        <w:t xml:space="preserve">Pass mark </w:t>
      </w:r>
      <w:r w:rsidRPr="00952ED4">
        <w:tab/>
      </w:r>
      <w:r w:rsidRPr="00952ED4">
        <w:tab/>
      </w:r>
      <w:r w:rsidRPr="00952ED4">
        <w:tab/>
      </w:r>
      <w:r w:rsidRPr="00952ED4">
        <w:tab/>
      </w:r>
      <w:r w:rsidRPr="00952ED4">
        <w:tab/>
      </w:r>
      <w:r w:rsidRPr="00952ED4">
        <w:tab/>
        <w:t>–</w:t>
      </w:r>
      <w:r w:rsidRPr="00952ED4">
        <w:tab/>
      </w:r>
      <w:r w:rsidRPr="00952ED4">
        <w:rPr>
          <w:b/>
        </w:rPr>
        <w:t>55%</w:t>
      </w:r>
      <w:r w:rsidRPr="00952ED4">
        <w:t xml:space="preserve"> in either paper, </w:t>
      </w:r>
      <w:r w:rsidR="00952ED4" w:rsidRPr="00952ED4">
        <w:t>and</w:t>
      </w:r>
      <w:r w:rsidRPr="00952ED4">
        <w:t xml:space="preserve"> an average of </w:t>
      </w:r>
      <w:r w:rsidRPr="00952ED4">
        <w:rPr>
          <w:b/>
        </w:rPr>
        <w:t>60%</w:t>
      </w:r>
      <w:r w:rsidRPr="00952ED4">
        <w:t xml:space="preserve"> for the two papers combined</w:t>
      </w:r>
    </w:p>
    <w:p w:rsidR="003E67E3" w:rsidRPr="00952ED4" w:rsidRDefault="003E67E3" w:rsidP="003E67E3">
      <w:pPr>
        <w:pStyle w:val="ListParagraph"/>
        <w:numPr>
          <w:ilvl w:val="0"/>
          <w:numId w:val="30"/>
        </w:numPr>
        <w:spacing w:after="0" w:line="240" w:lineRule="auto"/>
        <w:ind w:left="284" w:hanging="284"/>
        <w:jc w:val="both"/>
      </w:pPr>
      <w:r w:rsidRPr="00952ED4">
        <w:t xml:space="preserve">Please ensure that each exam book that you use displays your correct </w:t>
      </w:r>
      <w:r w:rsidRPr="00952ED4">
        <w:rPr>
          <w:b/>
        </w:rPr>
        <w:t>EXAMINATION NUMBER</w:t>
      </w:r>
      <w:r w:rsidR="00491D29">
        <w:t xml:space="preserve"> for identification purposes.</w:t>
      </w:r>
    </w:p>
    <w:p w:rsidR="00952ED4" w:rsidRPr="00952ED4" w:rsidRDefault="00F84137" w:rsidP="0039454E">
      <w:pPr>
        <w:pStyle w:val="ListParagraph"/>
        <w:numPr>
          <w:ilvl w:val="0"/>
          <w:numId w:val="30"/>
        </w:numPr>
        <w:spacing w:after="0" w:line="240" w:lineRule="auto"/>
        <w:ind w:left="284" w:hanging="284"/>
        <w:jc w:val="both"/>
      </w:pPr>
      <w:r>
        <w:t>N</w:t>
      </w:r>
      <w:r w:rsidRPr="00952ED4">
        <w:t>o refe</w:t>
      </w:r>
      <w:r>
        <w:t xml:space="preserve">rence material, </w:t>
      </w:r>
      <w:r w:rsidR="00952ED4" w:rsidRPr="00952ED4">
        <w:t>cell phones, programmable calculators, laptops and/or other electronic equipment will be per</w:t>
      </w:r>
      <w:r w:rsidR="00491D29">
        <w:t>mitted in the examination room.</w:t>
      </w:r>
    </w:p>
    <w:p w:rsidR="00791562" w:rsidRPr="00791562" w:rsidRDefault="00791562" w:rsidP="00415E9F">
      <w:pPr>
        <w:spacing w:after="0" w:line="240" w:lineRule="auto"/>
        <w:contextualSpacing/>
        <w:jc w:val="both"/>
      </w:pPr>
    </w:p>
    <w:p w:rsidR="00EB7DF9" w:rsidRPr="008F2399" w:rsidRDefault="00EB7DF9" w:rsidP="00E44DEF">
      <w:pPr>
        <w:pBdr>
          <w:bottom w:val="single" w:sz="8" w:space="1" w:color="7F7F7F" w:themeColor="text1" w:themeTint="80"/>
        </w:pBdr>
        <w:spacing w:after="0" w:line="240" w:lineRule="auto"/>
        <w:contextualSpacing/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</w:pPr>
      <w:r w:rsidRPr="008F2399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>QUESTION 1</w:t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AF6CDD"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>25</w:t>
      </w:r>
      <w:r w:rsidRPr="000E439C"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 xml:space="preserve"> marks</w:t>
      </w:r>
    </w:p>
    <w:p w:rsidR="00EB7DF9" w:rsidRDefault="00EB7DF9" w:rsidP="00415E9F">
      <w:pPr>
        <w:spacing w:after="0" w:line="240" w:lineRule="auto"/>
        <w:contextualSpacing/>
        <w:jc w:val="both"/>
      </w:pPr>
    </w:p>
    <w:tbl>
      <w:tblPr>
        <w:tblStyle w:val="TableGrid"/>
        <w:tblW w:w="963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4"/>
        <w:gridCol w:w="8358"/>
        <w:gridCol w:w="573"/>
      </w:tblGrid>
      <w:tr w:rsidR="00B71779" w:rsidTr="00407416">
        <w:tc>
          <w:tcPr>
            <w:tcW w:w="704" w:type="dxa"/>
            <w:vMerge w:val="restart"/>
          </w:tcPr>
          <w:p w:rsidR="00B71779" w:rsidRDefault="00B71779" w:rsidP="00270915">
            <w:pPr>
              <w:contextualSpacing/>
            </w:pPr>
            <w:r>
              <w:t>1.1</w:t>
            </w:r>
          </w:p>
        </w:tc>
        <w:tc>
          <w:tcPr>
            <w:tcW w:w="8358" w:type="dxa"/>
          </w:tcPr>
          <w:p w:rsidR="00B71779" w:rsidRDefault="00B71779" w:rsidP="00253165">
            <w:pPr>
              <w:jc w:val="both"/>
            </w:pPr>
            <w:r>
              <w:t xml:space="preserve">What is the name of </w:t>
            </w:r>
            <w:r w:rsidR="00253165">
              <w:t xml:space="preserve">the </w:t>
            </w:r>
            <w:r>
              <w:t xml:space="preserve">statutory body that was formed to </w:t>
            </w:r>
            <w:r w:rsidRPr="00342D4D">
              <w:t>ensure uniform application of norms and guidelines set by the councils for the professions throughout the built environment</w:t>
            </w:r>
            <w:r>
              <w:t>?</w:t>
            </w:r>
          </w:p>
        </w:tc>
        <w:tc>
          <w:tcPr>
            <w:tcW w:w="573" w:type="dxa"/>
            <w:vMerge w:val="restart"/>
          </w:tcPr>
          <w:p w:rsidR="00B71779" w:rsidRDefault="00EC6BD4" w:rsidP="00270915">
            <w:pPr>
              <w:contextualSpacing/>
              <w:jc w:val="center"/>
            </w:pPr>
            <w:r>
              <w:t>(2)</w:t>
            </w:r>
          </w:p>
        </w:tc>
      </w:tr>
      <w:tr w:rsidR="00B71779" w:rsidTr="00407416">
        <w:tc>
          <w:tcPr>
            <w:tcW w:w="704" w:type="dxa"/>
            <w:vMerge/>
          </w:tcPr>
          <w:p w:rsidR="00B71779" w:rsidRDefault="00B71779" w:rsidP="00270915">
            <w:pPr>
              <w:contextualSpacing/>
            </w:pPr>
          </w:p>
        </w:tc>
        <w:tc>
          <w:tcPr>
            <w:tcW w:w="8358" w:type="dxa"/>
          </w:tcPr>
          <w:p w:rsidR="00B71779" w:rsidRDefault="00B71779" w:rsidP="00253165">
            <w:pPr>
              <w:contextualSpacing/>
              <w:jc w:val="both"/>
            </w:pPr>
            <w:r>
              <w:rPr>
                <w:color w:val="FF0000"/>
              </w:rPr>
              <w:t>The Council f</w:t>
            </w:r>
            <w:r w:rsidRPr="00234DBB">
              <w:rPr>
                <w:color w:val="FF0000"/>
              </w:rPr>
              <w:t xml:space="preserve">or the Built </w:t>
            </w:r>
            <w:r>
              <w:rPr>
                <w:color w:val="FF0000"/>
                <w:vertAlign w:val="superscript"/>
              </w:rPr>
              <w:t>(1)</w:t>
            </w:r>
            <w:r>
              <w:rPr>
                <w:color w:val="FF0000"/>
              </w:rPr>
              <w:t xml:space="preserve"> E</w:t>
            </w:r>
            <w:r w:rsidRPr="00234DBB">
              <w:rPr>
                <w:color w:val="FF0000"/>
              </w:rPr>
              <w:t>nvironment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vertAlign w:val="superscript"/>
              </w:rPr>
              <w:t>(1)</w:t>
            </w:r>
          </w:p>
        </w:tc>
        <w:tc>
          <w:tcPr>
            <w:tcW w:w="573" w:type="dxa"/>
            <w:vMerge/>
          </w:tcPr>
          <w:p w:rsidR="00B71779" w:rsidRDefault="00B71779" w:rsidP="00270915">
            <w:pPr>
              <w:contextualSpacing/>
              <w:jc w:val="center"/>
            </w:pPr>
          </w:p>
        </w:tc>
      </w:tr>
      <w:tr w:rsidR="00FC58CC" w:rsidTr="00200908">
        <w:tc>
          <w:tcPr>
            <w:tcW w:w="9635" w:type="dxa"/>
            <w:gridSpan w:val="3"/>
          </w:tcPr>
          <w:p w:rsidR="00FC58CC" w:rsidRDefault="00FC58CC" w:rsidP="00270915">
            <w:pPr>
              <w:contextualSpacing/>
              <w:jc w:val="center"/>
            </w:pPr>
          </w:p>
        </w:tc>
      </w:tr>
      <w:tr w:rsidR="00B71779" w:rsidTr="00407416">
        <w:tc>
          <w:tcPr>
            <w:tcW w:w="704" w:type="dxa"/>
            <w:vMerge w:val="restart"/>
          </w:tcPr>
          <w:p w:rsidR="00B71779" w:rsidRDefault="00B71779" w:rsidP="00270915">
            <w:pPr>
              <w:contextualSpacing/>
            </w:pPr>
            <w:r>
              <w:t>1.2</w:t>
            </w:r>
          </w:p>
        </w:tc>
        <w:tc>
          <w:tcPr>
            <w:tcW w:w="8358" w:type="dxa"/>
          </w:tcPr>
          <w:p w:rsidR="00B71779" w:rsidRDefault="00B71779" w:rsidP="00253165">
            <w:pPr>
              <w:jc w:val="both"/>
            </w:pPr>
            <w:r>
              <w:t xml:space="preserve">What is the name of the statutory body tasked to </w:t>
            </w:r>
            <w:r w:rsidRPr="00342D4D">
              <w:t>implement an integrated strategy for the reconstruction, growth and development of the construction industry</w:t>
            </w:r>
            <w:r>
              <w:t>?</w:t>
            </w:r>
          </w:p>
        </w:tc>
        <w:tc>
          <w:tcPr>
            <w:tcW w:w="573" w:type="dxa"/>
            <w:vMerge w:val="restart"/>
          </w:tcPr>
          <w:p w:rsidR="00B71779" w:rsidRDefault="004D0B72" w:rsidP="00270915">
            <w:pPr>
              <w:contextualSpacing/>
              <w:jc w:val="center"/>
            </w:pPr>
            <w:r>
              <w:t>(2</w:t>
            </w:r>
            <w:r w:rsidR="00EC6BD4">
              <w:t>)</w:t>
            </w:r>
          </w:p>
        </w:tc>
      </w:tr>
      <w:tr w:rsidR="00B71779" w:rsidTr="00407416">
        <w:tc>
          <w:tcPr>
            <w:tcW w:w="704" w:type="dxa"/>
            <w:vMerge/>
          </w:tcPr>
          <w:p w:rsidR="00B71779" w:rsidRDefault="00B71779" w:rsidP="00270915">
            <w:pPr>
              <w:contextualSpacing/>
            </w:pPr>
          </w:p>
        </w:tc>
        <w:tc>
          <w:tcPr>
            <w:tcW w:w="8358" w:type="dxa"/>
          </w:tcPr>
          <w:p w:rsidR="00B71779" w:rsidRDefault="00B71779" w:rsidP="00270915">
            <w:pPr>
              <w:contextualSpacing/>
              <w:jc w:val="both"/>
            </w:pPr>
            <w:r w:rsidRPr="00B71779">
              <w:rPr>
                <w:color w:val="FF0000"/>
              </w:rPr>
              <w:t>Construction</w:t>
            </w:r>
            <w:r w:rsidR="004D0B72">
              <w:rPr>
                <w:color w:val="FF0000"/>
              </w:rPr>
              <w:t xml:space="preserve"> </w:t>
            </w:r>
            <w:r w:rsidRPr="00B71779">
              <w:rPr>
                <w:color w:val="FF0000"/>
              </w:rPr>
              <w:t xml:space="preserve">Industry </w:t>
            </w:r>
            <w:r w:rsidR="00EC6BD4">
              <w:rPr>
                <w:color w:val="FF0000"/>
                <w:vertAlign w:val="superscript"/>
              </w:rPr>
              <w:t>(1)</w:t>
            </w:r>
            <w:r w:rsidR="00EC6BD4">
              <w:rPr>
                <w:color w:val="FF0000"/>
              </w:rPr>
              <w:t xml:space="preserve"> </w:t>
            </w:r>
            <w:r w:rsidR="004D0B72">
              <w:rPr>
                <w:color w:val="FF0000"/>
              </w:rPr>
              <w:t xml:space="preserve">Development </w:t>
            </w:r>
            <w:r w:rsidRPr="00B71779">
              <w:rPr>
                <w:color w:val="FF0000"/>
              </w:rPr>
              <w:t>Board</w:t>
            </w:r>
            <w:r w:rsidR="00EC6BD4">
              <w:rPr>
                <w:color w:val="FF0000"/>
              </w:rPr>
              <w:t xml:space="preserve"> </w:t>
            </w:r>
            <w:r w:rsidR="00EC6BD4">
              <w:rPr>
                <w:color w:val="FF0000"/>
                <w:vertAlign w:val="superscript"/>
              </w:rPr>
              <w:t>(1)</w:t>
            </w:r>
          </w:p>
        </w:tc>
        <w:tc>
          <w:tcPr>
            <w:tcW w:w="573" w:type="dxa"/>
            <w:vMerge/>
          </w:tcPr>
          <w:p w:rsidR="00B71779" w:rsidRDefault="00B71779" w:rsidP="00270915">
            <w:pPr>
              <w:contextualSpacing/>
              <w:jc w:val="center"/>
            </w:pPr>
          </w:p>
        </w:tc>
      </w:tr>
      <w:tr w:rsidR="00FC58CC" w:rsidTr="00200908">
        <w:tc>
          <w:tcPr>
            <w:tcW w:w="9635" w:type="dxa"/>
            <w:gridSpan w:val="3"/>
          </w:tcPr>
          <w:p w:rsidR="00FC58CC" w:rsidRDefault="00FC58CC" w:rsidP="00B71779">
            <w:pPr>
              <w:contextualSpacing/>
              <w:jc w:val="center"/>
            </w:pPr>
          </w:p>
        </w:tc>
      </w:tr>
      <w:tr w:rsidR="00B71779" w:rsidTr="00407416">
        <w:tc>
          <w:tcPr>
            <w:tcW w:w="704" w:type="dxa"/>
            <w:vMerge w:val="restart"/>
          </w:tcPr>
          <w:p w:rsidR="00B71779" w:rsidRDefault="00B71779" w:rsidP="00B71779">
            <w:pPr>
              <w:contextualSpacing/>
            </w:pPr>
            <w:r>
              <w:t>1.3</w:t>
            </w:r>
          </w:p>
        </w:tc>
        <w:tc>
          <w:tcPr>
            <w:tcW w:w="8358" w:type="dxa"/>
          </w:tcPr>
          <w:p w:rsidR="00B71779" w:rsidRDefault="00B71779" w:rsidP="00B71779">
            <w:pPr>
              <w:contextualSpacing/>
              <w:jc w:val="both"/>
            </w:pPr>
            <w:r>
              <w:t xml:space="preserve">Provide </w:t>
            </w:r>
            <w:r w:rsidRPr="0041410F">
              <w:t>the full name, number and year</w:t>
            </w:r>
            <w:r w:rsidRPr="000E515F">
              <w:t xml:space="preserve"> of origin</w:t>
            </w:r>
            <w:r>
              <w:t xml:space="preserve"> of the Act</w:t>
            </w:r>
            <w:r w:rsidRPr="000E515F">
              <w:t xml:space="preserve"> </w:t>
            </w:r>
            <w:r>
              <w:t>that established the South African Council for the Architectural Profession (SACAP).</w:t>
            </w:r>
          </w:p>
        </w:tc>
        <w:tc>
          <w:tcPr>
            <w:tcW w:w="573" w:type="dxa"/>
            <w:vMerge w:val="restart"/>
          </w:tcPr>
          <w:p w:rsidR="00B71779" w:rsidRDefault="00EC6BD4" w:rsidP="00B71779">
            <w:pPr>
              <w:contextualSpacing/>
              <w:jc w:val="center"/>
            </w:pPr>
            <w:r>
              <w:t>(4)</w:t>
            </w:r>
          </w:p>
        </w:tc>
      </w:tr>
      <w:tr w:rsidR="00B71779" w:rsidTr="00407416">
        <w:tc>
          <w:tcPr>
            <w:tcW w:w="704" w:type="dxa"/>
            <w:vMerge/>
          </w:tcPr>
          <w:p w:rsidR="00B71779" w:rsidRDefault="00B71779" w:rsidP="00B71779">
            <w:pPr>
              <w:contextualSpacing/>
            </w:pPr>
          </w:p>
        </w:tc>
        <w:tc>
          <w:tcPr>
            <w:tcW w:w="8358" w:type="dxa"/>
          </w:tcPr>
          <w:p w:rsidR="00B71779" w:rsidRDefault="00B71779" w:rsidP="00B71779">
            <w:pPr>
              <w:contextualSpacing/>
              <w:jc w:val="both"/>
            </w:pPr>
            <w:r>
              <w:rPr>
                <w:color w:val="FF0000"/>
              </w:rPr>
              <w:t xml:space="preserve">The </w:t>
            </w:r>
            <w:r w:rsidRPr="000E515F">
              <w:rPr>
                <w:color w:val="FF0000"/>
              </w:rPr>
              <w:t>Architectural</w:t>
            </w:r>
            <w:r w:rsidRPr="008F2399">
              <w:rPr>
                <w:color w:val="FF0000"/>
                <w:vertAlign w:val="superscript"/>
              </w:rPr>
              <w:t xml:space="preserve"> </w:t>
            </w:r>
            <w:r>
              <w:rPr>
                <w:color w:val="FF0000"/>
                <w:vertAlign w:val="superscript"/>
              </w:rPr>
              <w:t>(1)</w:t>
            </w:r>
            <w:r w:rsidRPr="000E515F">
              <w:rPr>
                <w:color w:val="FF0000"/>
              </w:rPr>
              <w:t xml:space="preserve"> Profession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vertAlign w:val="superscript"/>
              </w:rPr>
              <w:t>(1)</w:t>
            </w:r>
            <w:r w:rsidRPr="000E515F">
              <w:rPr>
                <w:color w:val="FF0000"/>
              </w:rPr>
              <w:t xml:space="preserve"> Act 44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vertAlign w:val="superscript"/>
              </w:rPr>
              <w:t>(1)</w:t>
            </w:r>
            <w:r>
              <w:rPr>
                <w:color w:val="FF0000"/>
              </w:rPr>
              <w:t xml:space="preserve"> o</w:t>
            </w:r>
            <w:r w:rsidRPr="000E515F">
              <w:rPr>
                <w:color w:val="FF0000"/>
              </w:rPr>
              <w:t>f 2000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vertAlign w:val="superscript"/>
              </w:rPr>
              <w:t>(1)</w:t>
            </w:r>
          </w:p>
        </w:tc>
        <w:tc>
          <w:tcPr>
            <w:tcW w:w="573" w:type="dxa"/>
            <w:vMerge/>
          </w:tcPr>
          <w:p w:rsidR="00B71779" w:rsidRDefault="00B71779" w:rsidP="00B71779">
            <w:pPr>
              <w:contextualSpacing/>
              <w:jc w:val="center"/>
            </w:pPr>
          </w:p>
        </w:tc>
      </w:tr>
      <w:tr w:rsidR="00FC58CC" w:rsidTr="00200908">
        <w:tc>
          <w:tcPr>
            <w:tcW w:w="9635" w:type="dxa"/>
            <w:gridSpan w:val="3"/>
          </w:tcPr>
          <w:p w:rsidR="00FC58CC" w:rsidRDefault="00FC58CC" w:rsidP="00B71779">
            <w:pPr>
              <w:contextualSpacing/>
              <w:jc w:val="center"/>
            </w:pPr>
          </w:p>
        </w:tc>
      </w:tr>
      <w:tr w:rsidR="00B71779" w:rsidTr="00407416">
        <w:tc>
          <w:tcPr>
            <w:tcW w:w="704" w:type="dxa"/>
            <w:vMerge w:val="restart"/>
          </w:tcPr>
          <w:p w:rsidR="00B71779" w:rsidRDefault="00B71779" w:rsidP="00B71779">
            <w:pPr>
              <w:contextualSpacing/>
            </w:pPr>
            <w:r>
              <w:t>1.4</w:t>
            </w:r>
          </w:p>
        </w:tc>
        <w:tc>
          <w:tcPr>
            <w:tcW w:w="8358" w:type="dxa"/>
          </w:tcPr>
          <w:p w:rsidR="00B71779" w:rsidRDefault="00974089" w:rsidP="00974089">
            <w:r>
              <w:t xml:space="preserve">Under this </w:t>
            </w:r>
            <w:r w:rsidR="00B71779">
              <w:t>Act</w:t>
            </w:r>
            <w:r>
              <w:t>, SACAP was established</w:t>
            </w:r>
            <w:r w:rsidR="00B71779">
              <w:t xml:space="preserve"> as a __________ person.</w:t>
            </w:r>
          </w:p>
        </w:tc>
        <w:tc>
          <w:tcPr>
            <w:tcW w:w="573" w:type="dxa"/>
            <w:vMerge w:val="restart"/>
          </w:tcPr>
          <w:p w:rsidR="00B71779" w:rsidRDefault="00EC6BD4" w:rsidP="00B71779">
            <w:pPr>
              <w:contextualSpacing/>
              <w:jc w:val="center"/>
            </w:pPr>
            <w:r>
              <w:t>(2)</w:t>
            </w:r>
          </w:p>
        </w:tc>
      </w:tr>
      <w:tr w:rsidR="00B71779" w:rsidTr="00407416">
        <w:tc>
          <w:tcPr>
            <w:tcW w:w="704" w:type="dxa"/>
            <w:vMerge/>
          </w:tcPr>
          <w:p w:rsidR="00B71779" w:rsidRDefault="00B71779" w:rsidP="00B71779">
            <w:pPr>
              <w:contextualSpacing/>
            </w:pPr>
          </w:p>
        </w:tc>
        <w:tc>
          <w:tcPr>
            <w:tcW w:w="8358" w:type="dxa"/>
          </w:tcPr>
          <w:p w:rsidR="00B71779" w:rsidRDefault="00B71779" w:rsidP="00B71779">
            <w:pPr>
              <w:contextualSpacing/>
              <w:jc w:val="both"/>
            </w:pPr>
            <w:r w:rsidRPr="00B71779">
              <w:rPr>
                <w:color w:val="FF0000"/>
              </w:rPr>
              <w:t>Juristic</w:t>
            </w:r>
          </w:p>
        </w:tc>
        <w:tc>
          <w:tcPr>
            <w:tcW w:w="573" w:type="dxa"/>
            <w:vMerge/>
          </w:tcPr>
          <w:p w:rsidR="00B71779" w:rsidRDefault="00B71779" w:rsidP="00B71779">
            <w:pPr>
              <w:contextualSpacing/>
              <w:jc w:val="center"/>
            </w:pPr>
          </w:p>
        </w:tc>
      </w:tr>
      <w:tr w:rsidR="00FC58CC" w:rsidTr="00200908">
        <w:tc>
          <w:tcPr>
            <w:tcW w:w="9635" w:type="dxa"/>
            <w:gridSpan w:val="3"/>
          </w:tcPr>
          <w:p w:rsidR="00FC58CC" w:rsidRDefault="00FC58CC" w:rsidP="00B71779">
            <w:pPr>
              <w:contextualSpacing/>
              <w:jc w:val="center"/>
            </w:pPr>
          </w:p>
        </w:tc>
      </w:tr>
      <w:tr w:rsidR="00EC6BD4" w:rsidTr="00407416">
        <w:tc>
          <w:tcPr>
            <w:tcW w:w="704" w:type="dxa"/>
            <w:vMerge w:val="restart"/>
          </w:tcPr>
          <w:p w:rsidR="00EC6BD4" w:rsidRDefault="00EC6BD4" w:rsidP="00B71779">
            <w:pPr>
              <w:contextualSpacing/>
            </w:pPr>
            <w:r>
              <w:t>1.5</w:t>
            </w:r>
          </w:p>
        </w:tc>
        <w:tc>
          <w:tcPr>
            <w:tcW w:w="8358" w:type="dxa"/>
          </w:tcPr>
          <w:p w:rsidR="00974089" w:rsidRPr="00A020CB" w:rsidRDefault="00974089" w:rsidP="00974089">
            <w:pPr>
              <w:contextualSpacing/>
              <w:jc w:val="both"/>
            </w:pPr>
            <w:r>
              <w:t xml:space="preserve">Describe two activities that SACAP undertakes in order to enact its functions. </w:t>
            </w:r>
          </w:p>
        </w:tc>
        <w:tc>
          <w:tcPr>
            <w:tcW w:w="573" w:type="dxa"/>
            <w:vMerge w:val="restart"/>
          </w:tcPr>
          <w:p w:rsidR="00EC6BD4" w:rsidRDefault="00EC6BD4" w:rsidP="00B71779">
            <w:pPr>
              <w:contextualSpacing/>
              <w:jc w:val="center"/>
            </w:pPr>
            <w:r>
              <w:t>(6)</w:t>
            </w:r>
          </w:p>
        </w:tc>
      </w:tr>
      <w:tr w:rsidR="00EC6BD4" w:rsidTr="00407416">
        <w:tc>
          <w:tcPr>
            <w:tcW w:w="704" w:type="dxa"/>
            <w:vMerge/>
          </w:tcPr>
          <w:p w:rsidR="00EC6BD4" w:rsidRDefault="00EC6BD4" w:rsidP="00B71779">
            <w:pPr>
              <w:contextualSpacing/>
            </w:pPr>
          </w:p>
        </w:tc>
        <w:tc>
          <w:tcPr>
            <w:tcW w:w="8358" w:type="dxa"/>
          </w:tcPr>
          <w:p w:rsidR="00B96C79" w:rsidRPr="00B96C79" w:rsidRDefault="00B96C79" w:rsidP="00B96C79">
            <w:pPr>
              <w:contextualSpacing/>
              <w:jc w:val="both"/>
              <w:rPr>
                <w:color w:val="FF0000"/>
              </w:rPr>
            </w:pPr>
            <w:r>
              <w:rPr>
                <w:i/>
                <w:color w:val="FF0000"/>
              </w:rPr>
              <w:t xml:space="preserve">Any of the following </w:t>
            </w:r>
            <w:r w:rsidR="005E4975">
              <w:rPr>
                <w:i/>
                <w:color w:val="FF0000"/>
              </w:rPr>
              <w:t xml:space="preserve">or in a similar vein </w:t>
            </w:r>
            <w:r>
              <w:rPr>
                <w:i/>
                <w:color w:val="FF0000"/>
              </w:rPr>
              <w:t>– 3 marks for each</w:t>
            </w:r>
            <w:r w:rsidR="006F32B7">
              <w:rPr>
                <w:i/>
                <w:color w:val="FF0000"/>
              </w:rPr>
              <w:t xml:space="preserve"> (total 6 marks)</w:t>
            </w:r>
            <w:r>
              <w:rPr>
                <w:i/>
                <w:color w:val="FF0000"/>
              </w:rPr>
              <w:t>:</w:t>
            </w:r>
          </w:p>
          <w:p w:rsidR="00EC6BD4" w:rsidRPr="00EC6BD4" w:rsidRDefault="00EC6BD4" w:rsidP="00B96C79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EC6BD4">
              <w:rPr>
                <w:color w:val="FF0000"/>
              </w:rPr>
              <w:t>The protection of the public interest by identifying the type of architectural work each category of registered person is capable and competent to perform.</w:t>
            </w:r>
          </w:p>
          <w:p w:rsidR="00EC6BD4" w:rsidRPr="00EC6BD4" w:rsidRDefault="00EC6BD4" w:rsidP="00B96C79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EC6BD4">
              <w:rPr>
                <w:color w:val="FF0000"/>
              </w:rPr>
              <w:t>Control of standards of education at tertiary institution for the purpose of professional registration by means of visiting boards.</w:t>
            </w:r>
          </w:p>
          <w:p w:rsidR="00EC6BD4" w:rsidRDefault="00EC6BD4" w:rsidP="00B96C79">
            <w:pPr>
              <w:pStyle w:val="ListParagraph"/>
              <w:numPr>
                <w:ilvl w:val="0"/>
                <w:numId w:val="31"/>
              </w:numPr>
              <w:ind w:left="321" w:hanging="283"/>
            </w:pPr>
            <w:r w:rsidRPr="00EC6BD4">
              <w:rPr>
                <w:color w:val="FF0000"/>
              </w:rPr>
              <w:t>The administration of a Code of Professional Conduct</w:t>
            </w:r>
            <w:r w:rsidR="00200908">
              <w:rPr>
                <w:color w:val="FF0000"/>
              </w:rPr>
              <w:t>.</w:t>
            </w:r>
          </w:p>
        </w:tc>
        <w:tc>
          <w:tcPr>
            <w:tcW w:w="573" w:type="dxa"/>
            <w:vMerge/>
          </w:tcPr>
          <w:p w:rsidR="00EC6BD4" w:rsidRDefault="00EC6BD4" w:rsidP="00B71779">
            <w:pPr>
              <w:contextualSpacing/>
              <w:jc w:val="center"/>
            </w:pPr>
          </w:p>
        </w:tc>
      </w:tr>
      <w:tr w:rsidR="00FC58CC" w:rsidTr="00200908">
        <w:tc>
          <w:tcPr>
            <w:tcW w:w="9635" w:type="dxa"/>
            <w:gridSpan w:val="3"/>
          </w:tcPr>
          <w:p w:rsidR="00FC58CC" w:rsidRDefault="00FC58CC" w:rsidP="00B71779">
            <w:pPr>
              <w:contextualSpacing/>
              <w:jc w:val="center"/>
            </w:pPr>
          </w:p>
        </w:tc>
      </w:tr>
      <w:tr w:rsidR="00EC6BD4" w:rsidTr="00407416">
        <w:tc>
          <w:tcPr>
            <w:tcW w:w="704" w:type="dxa"/>
            <w:vMerge w:val="restart"/>
          </w:tcPr>
          <w:p w:rsidR="00EC6BD4" w:rsidRDefault="00EC6BD4" w:rsidP="00B71779">
            <w:pPr>
              <w:contextualSpacing/>
            </w:pPr>
            <w:r>
              <w:t>1.6</w:t>
            </w:r>
          </w:p>
        </w:tc>
        <w:tc>
          <w:tcPr>
            <w:tcW w:w="8358" w:type="dxa"/>
          </w:tcPr>
          <w:p w:rsidR="00EC6BD4" w:rsidRDefault="00EC6BD4" w:rsidP="00EC6BD4">
            <w:pPr>
              <w:contextualSpacing/>
              <w:jc w:val="both"/>
            </w:pPr>
            <w:r>
              <w:t>Who appoints the SACAP Registrar?</w:t>
            </w:r>
          </w:p>
        </w:tc>
        <w:tc>
          <w:tcPr>
            <w:tcW w:w="573" w:type="dxa"/>
            <w:vMerge w:val="restart"/>
          </w:tcPr>
          <w:p w:rsidR="00EC6BD4" w:rsidRDefault="004D0B72" w:rsidP="00B71779">
            <w:pPr>
              <w:contextualSpacing/>
              <w:jc w:val="center"/>
            </w:pPr>
            <w:r>
              <w:t>(1</w:t>
            </w:r>
            <w:r w:rsidR="00EC6BD4">
              <w:t>)</w:t>
            </w:r>
          </w:p>
        </w:tc>
      </w:tr>
      <w:tr w:rsidR="00EC6BD4" w:rsidTr="00407416">
        <w:tc>
          <w:tcPr>
            <w:tcW w:w="704" w:type="dxa"/>
            <w:vMerge/>
          </w:tcPr>
          <w:p w:rsidR="00EC6BD4" w:rsidRDefault="00EC6BD4" w:rsidP="00B71779">
            <w:pPr>
              <w:contextualSpacing/>
            </w:pPr>
          </w:p>
        </w:tc>
        <w:tc>
          <w:tcPr>
            <w:tcW w:w="8358" w:type="dxa"/>
          </w:tcPr>
          <w:p w:rsidR="00EC6BD4" w:rsidRDefault="00EC6BD4" w:rsidP="00B71779">
            <w:pPr>
              <w:contextualSpacing/>
              <w:jc w:val="both"/>
            </w:pPr>
            <w:r w:rsidRPr="00EC6BD4">
              <w:rPr>
                <w:color w:val="FF0000"/>
              </w:rPr>
              <w:t>The Council</w:t>
            </w:r>
          </w:p>
        </w:tc>
        <w:tc>
          <w:tcPr>
            <w:tcW w:w="573" w:type="dxa"/>
            <w:vMerge/>
          </w:tcPr>
          <w:p w:rsidR="00EC6BD4" w:rsidRDefault="00EC6BD4" w:rsidP="00B71779">
            <w:pPr>
              <w:contextualSpacing/>
              <w:jc w:val="center"/>
            </w:pPr>
          </w:p>
        </w:tc>
      </w:tr>
      <w:tr w:rsidR="00FC58CC" w:rsidTr="00200908">
        <w:tc>
          <w:tcPr>
            <w:tcW w:w="9635" w:type="dxa"/>
            <w:gridSpan w:val="3"/>
          </w:tcPr>
          <w:p w:rsidR="00FC58CC" w:rsidRDefault="00FC58CC" w:rsidP="00B71779">
            <w:pPr>
              <w:contextualSpacing/>
              <w:jc w:val="center"/>
            </w:pPr>
          </w:p>
        </w:tc>
      </w:tr>
      <w:tr w:rsidR="008F5050" w:rsidTr="00407416">
        <w:tc>
          <w:tcPr>
            <w:tcW w:w="704" w:type="dxa"/>
            <w:vMerge w:val="restart"/>
          </w:tcPr>
          <w:p w:rsidR="008F5050" w:rsidRDefault="008F5050" w:rsidP="00B71779">
            <w:pPr>
              <w:contextualSpacing/>
            </w:pPr>
            <w:r>
              <w:t>1.7</w:t>
            </w:r>
          </w:p>
        </w:tc>
        <w:tc>
          <w:tcPr>
            <w:tcW w:w="8358" w:type="dxa"/>
          </w:tcPr>
          <w:p w:rsidR="008F5050" w:rsidRDefault="00FC58CC" w:rsidP="00974089">
            <w:pPr>
              <w:contextualSpacing/>
              <w:jc w:val="both"/>
            </w:pPr>
            <w:r>
              <w:t xml:space="preserve">Aside from adhering to </w:t>
            </w:r>
            <w:r w:rsidR="00200908">
              <w:t xml:space="preserve">SACAP </w:t>
            </w:r>
            <w:r>
              <w:t xml:space="preserve">registration requirements, </w:t>
            </w:r>
            <w:r w:rsidR="00974089">
              <w:t>identify</w:t>
            </w:r>
            <w:r w:rsidR="008F5050">
              <w:t xml:space="preserve"> </w:t>
            </w:r>
            <w:r w:rsidR="00033B23">
              <w:t>three</w:t>
            </w:r>
            <w:r w:rsidR="008F5050">
              <w:t xml:space="preserve"> reasons for </w:t>
            </w:r>
            <w:r>
              <w:t xml:space="preserve">engaging in </w:t>
            </w:r>
            <w:r w:rsidR="008F5050">
              <w:t>Continuing Professional Development as an architectural professional.</w:t>
            </w:r>
          </w:p>
        </w:tc>
        <w:tc>
          <w:tcPr>
            <w:tcW w:w="573" w:type="dxa"/>
            <w:vMerge w:val="restart"/>
          </w:tcPr>
          <w:p w:rsidR="008F5050" w:rsidRDefault="008F5050" w:rsidP="00B71779">
            <w:pPr>
              <w:contextualSpacing/>
              <w:jc w:val="center"/>
            </w:pPr>
            <w:r>
              <w:t>(</w:t>
            </w:r>
            <w:r w:rsidR="00033B23">
              <w:t>6</w:t>
            </w:r>
            <w:r>
              <w:t>)</w:t>
            </w:r>
          </w:p>
        </w:tc>
      </w:tr>
      <w:tr w:rsidR="008F5050" w:rsidTr="00407416">
        <w:tc>
          <w:tcPr>
            <w:tcW w:w="704" w:type="dxa"/>
            <w:vMerge/>
          </w:tcPr>
          <w:p w:rsidR="008F5050" w:rsidRDefault="008F5050" w:rsidP="00B71779">
            <w:pPr>
              <w:contextualSpacing/>
            </w:pPr>
          </w:p>
        </w:tc>
        <w:tc>
          <w:tcPr>
            <w:tcW w:w="8358" w:type="dxa"/>
          </w:tcPr>
          <w:p w:rsidR="00033B23" w:rsidRPr="00033B23" w:rsidRDefault="00033B23" w:rsidP="008F5050">
            <w:pPr>
              <w:contextualSpacing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Any of the following </w:t>
            </w:r>
            <w:r w:rsidR="005E4975">
              <w:rPr>
                <w:i/>
                <w:color w:val="FF0000"/>
              </w:rPr>
              <w:t xml:space="preserve">or in a similar vein </w:t>
            </w:r>
            <w:r>
              <w:rPr>
                <w:i/>
                <w:color w:val="FF0000"/>
              </w:rPr>
              <w:t>– 2 marks for each</w:t>
            </w:r>
            <w:r w:rsidR="006F32B7">
              <w:rPr>
                <w:i/>
                <w:color w:val="FF0000"/>
              </w:rPr>
              <w:t xml:space="preserve"> (total 6 marks)</w:t>
            </w:r>
            <w:r>
              <w:rPr>
                <w:i/>
                <w:color w:val="FF0000"/>
              </w:rPr>
              <w:t>:</w:t>
            </w:r>
          </w:p>
          <w:p w:rsidR="008F5050" w:rsidRPr="008F5050" w:rsidRDefault="00FC58CC" w:rsidP="00B96C79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8F5050">
              <w:rPr>
                <w:color w:val="FF0000"/>
              </w:rPr>
              <w:t>The increasing complexity of construction</w:t>
            </w:r>
          </w:p>
          <w:p w:rsidR="008F5050" w:rsidRPr="008F5050" w:rsidRDefault="00FC58CC" w:rsidP="00B96C79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8F5050">
              <w:rPr>
                <w:color w:val="FF0000"/>
              </w:rPr>
              <w:t>The need for improved performance</w:t>
            </w:r>
          </w:p>
          <w:p w:rsidR="008F5050" w:rsidRPr="008F5050" w:rsidRDefault="00FC58CC" w:rsidP="00B96C79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8F5050">
              <w:rPr>
                <w:color w:val="FF0000"/>
              </w:rPr>
              <w:t>Ongoing development of materials, techniques and systems</w:t>
            </w:r>
          </w:p>
          <w:p w:rsidR="008F5050" w:rsidRPr="008F5050" w:rsidRDefault="00FC58CC" w:rsidP="00B96C79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8F5050">
              <w:rPr>
                <w:color w:val="FF0000"/>
              </w:rPr>
              <w:t>Rapid developments in informat</w:t>
            </w:r>
            <w:r w:rsidR="008F5050" w:rsidRPr="008F5050">
              <w:rPr>
                <w:color w:val="FF0000"/>
              </w:rPr>
              <w:t>ion technology</w:t>
            </w:r>
          </w:p>
          <w:p w:rsidR="008F5050" w:rsidRPr="008F5050" w:rsidRDefault="00FC58CC" w:rsidP="00B96C79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8F5050">
              <w:rPr>
                <w:color w:val="FF0000"/>
              </w:rPr>
              <w:lastRenderedPageBreak/>
              <w:t>Continually changing legislative and practice frameworks</w:t>
            </w:r>
          </w:p>
          <w:p w:rsidR="008F5050" w:rsidRDefault="00FC58CC" w:rsidP="00B96C79">
            <w:pPr>
              <w:pStyle w:val="ListParagraph"/>
              <w:numPr>
                <w:ilvl w:val="0"/>
                <w:numId w:val="31"/>
              </w:numPr>
              <w:ind w:left="321" w:hanging="283"/>
            </w:pPr>
            <w:r w:rsidRPr="008F5050">
              <w:rPr>
                <w:color w:val="FF0000"/>
              </w:rPr>
              <w:t>Growing environmental imperatives</w:t>
            </w:r>
          </w:p>
        </w:tc>
        <w:tc>
          <w:tcPr>
            <w:tcW w:w="573" w:type="dxa"/>
            <w:vMerge/>
          </w:tcPr>
          <w:p w:rsidR="008F5050" w:rsidRDefault="008F5050" w:rsidP="00B71779">
            <w:pPr>
              <w:contextualSpacing/>
              <w:jc w:val="center"/>
            </w:pPr>
          </w:p>
        </w:tc>
      </w:tr>
      <w:tr w:rsidR="00033B23" w:rsidTr="00C17568">
        <w:tc>
          <w:tcPr>
            <w:tcW w:w="9635" w:type="dxa"/>
            <w:gridSpan w:val="3"/>
          </w:tcPr>
          <w:p w:rsidR="00033B23" w:rsidRDefault="00033B23" w:rsidP="00B71779">
            <w:pPr>
              <w:contextualSpacing/>
              <w:jc w:val="center"/>
            </w:pPr>
          </w:p>
        </w:tc>
      </w:tr>
      <w:tr w:rsidR="00033B23" w:rsidTr="00407416">
        <w:tc>
          <w:tcPr>
            <w:tcW w:w="704" w:type="dxa"/>
            <w:vMerge w:val="restart"/>
          </w:tcPr>
          <w:p w:rsidR="00033B23" w:rsidRDefault="00033B23" w:rsidP="00B71779">
            <w:pPr>
              <w:contextualSpacing/>
            </w:pPr>
            <w:r>
              <w:t>1.8</w:t>
            </w:r>
          </w:p>
        </w:tc>
        <w:tc>
          <w:tcPr>
            <w:tcW w:w="8358" w:type="dxa"/>
          </w:tcPr>
          <w:p w:rsidR="00033B23" w:rsidRPr="00200908" w:rsidRDefault="00033B23" w:rsidP="00200908">
            <w:pPr>
              <w:contextualSpacing/>
              <w:jc w:val="both"/>
            </w:pPr>
            <w:r w:rsidRPr="00200908">
              <w:t xml:space="preserve">Which </w:t>
            </w:r>
            <w:r>
              <w:t>two bodies are recognised by the SACAP Council for the purposes of offering appropriate learning for Category 1 Continuing Professional Development activities?</w:t>
            </w:r>
          </w:p>
        </w:tc>
        <w:tc>
          <w:tcPr>
            <w:tcW w:w="573" w:type="dxa"/>
            <w:vMerge w:val="restart"/>
          </w:tcPr>
          <w:p w:rsidR="00033B23" w:rsidRDefault="00033B23" w:rsidP="00B71779">
            <w:pPr>
              <w:contextualSpacing/>
              <w:jc w:val="center"/>
            </w:pPr>
            <w:r>
              <w:t>(2)</w:t>
            </w:r>
          </w:p>
        </w:tc>
      </w:tr>
      <w:tr w:rsidR="00033B23" w:rsidTr="00407416">
        <w:tc>
          <w:tcPr>
            <w:tcW w:w="704" w:type="dxa"/>
            <w:vMerge/>
          </w:tcPr>
          <w:p w:rsidR="00033B23" w:rsidRDefault="00033B23" w:rsidP="00B71779">
            <w:pPr>
              <w:contextualSpacing/>
            </w:pPr>
          </w:p>
        </w:tc>
        <w:tc>
          <w:tcPr>
            <w:tcW w:w="8358" w:type="dxa"/>
          </w:tcPr>
          <w:p w:rsidR="00033B23" w:rsidRDefault="00033B23" w:rsidP="008F5050">
            <w:pPr>
              <w:contextualSpacing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Voluntary Associations </w:t>
            </w:r>
            <w:r>
              <w:rPr>
                <w:color w:val="FF0000"/>
                <w:vertAlign w:val="superscript"/>
              </w:rPr>
              <w:t>(1)</w:t>
            </w:r>
          </w:p>
          <w:p w:rsidR="00033B23" w:rsidRPr="008F5050" w:rsidRDefault="00033B23" w:rsidP="008F5050">
            <w:pPr>
              <w:contextualSpacing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Accredited educational institutions </w:t>
            </w:r>
            <w:r>
              <w:rPr>
                <w:color w:val="FF0000"/>
                <w:vertAlign w:val="superscript"/>
              </w:rPr>
              <w:t>(1)</w:t>
            </w:r>
          </w:p>
        </w:tc>
        <w:tc>
          <w:tcPr>
            <w:tcW w:w="573" w:type="dxa"/>
            <w:vMerge/>
          </w:tcPr>
          <w:p w:rsidR="00033B23" w:rsidRDefault="00033B23" w:rsidP="00B71779">
            <w:pPr>
              <w:contextualSpacing/>
              <w:jc w:val="center"/>
            </w:pPr>
          </w:p>
        </w:tc>
      </w:tr>
      <w:tr w:rsidR="00FC58CC" w:rsidTr="00200908">
        <w:tc>
          <w:tcPr>
            <w:tcW w:w="9635" w:type="dxa"/>
            <w:gridSpan w:val="3"/>
          </w:tcPr>
          <w:p w:rsidR="00FC58CC" w:rsidRDefault="00FC58CC" w:rsidP="00B71779">
            <w:pPr>
              <w:contextualSpacing/>
              <w:jc w:val="center"/>
            </w:pPr>
          </w:p>
        </w:tc>
      </w:tr>
    </w:tbl>
    <w:p w:rsidR="009904A7" w:rsidRDefault="009904A7" w:rsidP="007A2231">
      <w:pPr>
        <w:spacing w:after="0" w:line="240" w:lineRule="auto"/>
        <w:contextualSpacing/>
        <w:jc w:val="both"/>
      </w:pPr>
    </w:p>
    <w:p w:rsidR="00FC58CC" w:rsidRPr="007A2231" w:rsidRDefault="00FC58CC" w:rsidP="007A2231">
      <w:pPr>
        <w:spacing w:after="0" w:line="240" w:lineRule="auto"/>
        <w:contextualSpacing/>
        <w:jc w:val="both"/>
      </w:pPr>
    </w:p>
    <w:p w:rsidR="00981E70" w:rsidRPr="008F2399" w:rsidRDefault="00981E70" w:rsidP="00981E70">
      <w:pPr>
        <w:pBdr>
          <w:bottom w:val="single" w:sz="8" w:space="1" w:color="7F7F7F" w:themeColor="text1" w:themeTint="80"/>
        </w:pBdr>
        <w:spacing w:after="0" w:line="240" w:lineRule="auto"/>
        <w:contextualSpacing/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</w:pP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>QUESTION 2</w:t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EE4E91"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>30</w:t>
      </w:r>
      <w:r w:rsidRPr="000E439C"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 xml:space="preserve"> marks</w:t>
      </w:r>
    </w:p>
    <w:p w:rsidR="00DC6933" w:rsidRDefault="00DC6933" w:rsidP="00415E9F">
      <w:pPr>
        <w:spacing w:after="0" w:line="240" w:lineRule="auto"/>
        <w:contextualSpacing/>
        <w:jc w:val="both"/>
      </w:pPr>
    </w:p>
    <w:tbl>
      <w:tblPr>
        <w:tblStyle w:val="TableGrid"/>
        <w:tblW w:w="963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4"/>
        <w:gridCol w:w="8358"/>
        <w:gridCol w:w="573"/>
      </w:tblGrid>
      <w:tr w:rsidR="00FC58CC" w:rsidTr="001B730A">
        <w:tc>
          <w:tcPr>
            <w:tcW w:w="704" w:type="dxa"/>
            <w:vMerge w:val="restart"/>
            <w:shd w:val="clear" w:color="auto" w:fill="auto"/>
          </w:tcPr>
          <w:p w:rsidR="00FC58CC" w:rsidRDefault="00FC58CC" w:rsidP="00FC58CC">
            <w:pPr>
              <w:contextualSpacing/>
            </w:pPr>
            <w:r>
              <w:t>2.1</w:t>
            </w:r>
          </w:p>
        </w:tc>
        <w:tc>
          <w:tcPr>
            <w:tcW w:w="8358" w:type="dxa"/>
          </w:tcPr>
          <w:p w:rsidR="00AB5FCC" w:rsidRDefault="00E8378A" w:rsidP="00C45393">
            <w:pPr>
              <w:contextualSpacing/>
              <w:jc w:val="both"/>
            </w:pPr>
            <w:r>
              <w:t>What are the three words used to describe the manner in which a registered person is expected to act as part of the overriding obligation under the rules of the SACAP Code of Professional Conduct?</w:t>
            </w:r>
          </w:p>
        </w:tc>
        <w:tc>
          <w:tcPr>
            <w:tcW w:w="573" w:type="dxa"/>
            <w:vMerge w:val="restart"/>
          </w:tcPr>
          <w:p w:rsidR="00FC58CC" w:rsidRDefault="004B6A01" w:rsidP="00FC58CC">
            <w:pPr>
              <w:contextualSpacing/>
              <w:jc w:val="center"/>
            </w:pPr>
            <w:r>
              <w:t>(6</w:t>
            </w:r>
            <w:r w:rsidR="00FC58CC">
              <w:t>)</w:t>
            </w:r>
          </w:p>
        </w:tc>
      </w:tr>
      <w:tr w:rsidR="00FC58CC" w:rsidTr="001B730A">
        <w:tc>
          <w:tcPr>
            <w:tcW w:w="704" w:type="dxa"/>
            <w:vMerge/>
            <w:shd w:val="clear" w:color="auto" w:fill="auto"/>
          </w:tcPr>
          <w:p w:rsidR="00FC58CC" w:rsidRDefault="00FC58CC" w:rsidP="00FC58CC">
            <w:pPr>
              <w:contextualSpacing/>
            </w:pPr>
          </w:p>
        </w:tc>
        <w:tc>
          <w:tcPr>
            <w:tcW w:w="8358" w:type="dxa"/>
          </w:tcPr>
          <w:p w:rsidR="00FC58CC" w:rsidRDefault="00FC58CC" w:rsidP="00FC58CC">
            <w:pPr>
              <w:contextualSpacing/>
              <w:jc w:val="both"/>
            </w:pPr>
            <w:r w:rsidRPr="00A963EA">
              <w:rPr>
                <w:color w:val="FF0000"/>
              </w:rPr>
              <w:t xml:space="preserve">A registered person is expected act with due </w:t>
            </w:r>
            <w:r w:rsidRPr="005E4975">
              <w:rPr>
                <w:b/>
                <w:color w:val="FF0000"/>
              </w:rPr>
              <w:t>skill</w:t>
            </w:r>
            <w:r>
              <w:rPr>
                <w:color w:val="FF0000"/>
              </w:rPr>
              <w:t xml:space="preserve"> </w:t>
            </w:r>
            <w:r w:rsidR="00200908">
              <w:rPr>
                <w:color w:val="FF0000"/>
                <w:vertAlign w:val="superscript"/>
              </w:rPr>
              <w:t>(2</w:t>
            </w:r>
            <w:r>
              <w:rPr>
                <w:color w:val="FF0000"/>
                <w:vertAlign w:val="superscript"/>
              </w:rPr>
              <w:t>)</w:t>
            </w:r>
            <w:r w:rsidRPr="00A963EA">
              <w:rPr>
                <w:color w:val="FF0000"/>
              </w:rPr>
              <w:t xml:space="preserve">, </w:t>
            </w:r>
            <w:r w:rsidRPr="005E4975">
              <w:rPr>
                <w:b/>
                <w:color w:val="FF0000"/>
              </w:rPr>
              <w:t>competency</w:t>
            </w:r>
            <w:r w:rsidRPr="00A963EA">
              <w:rPr>
                <w:color w:val="FF0000"/>
              </w:rPr>
              <w:t xml:space="preserve"> </w:t>
            </w:r>
            <w:r w:rsidR="00200908">
              <w:rPr>
                <w:color w:val="FF0000"/>
                <w:vertAlign w:val="superscript"/>
              </w:rPr>
              <w:t>(2</w:t>
            </w:r>
            <w:r>
              <w:rPr>
                <w:color w:val="FF0000"/>
                <w:vertAlign w:val="superscript"/>
              </w:rPr>
              <w:t>)</w:t>
            </w:r>
            <w:r>
              <w:rPr>
                <w:color w:val="FF0000"/>
              </w:rPr>
              <w:t xml:space="preserve"> </w:t>
            </w:r>
            <w:r w:rsidRPr="00A963EA">
              <w:rPr>
                <w:color w:val="FF0000"/>
              </w:rPr>
              <w:t xml:space="preserve">and </w:t>
            </w:r>
            <w:r w:rsidRPr="005E4975">
              <w:rPr>
                <w:b/>
                <w:color w:val="FF0000"/>
              </w:rPr>
              <w:t>integrity</w:t>
            </w:r>
            <w:r>
              <w:rPr>
                <w:color w:val="FF0000"/>
              </w:rPr>
              <w:t xml:space="preserve"> </w:t>
            </w:r>
            <w:r w:rsidR="00200908">
              <w:rPr>
                <w:color w:val="FF0000"/>
                <w:vertAlign w:val="superscript"/>
              </w:rPr>
              <w:t>(2</w:t>
            </w:r>
            <w:r>
              <w:rPr>
                <w:color w:val="FF0000"/>
                <w:vertAlign w:val="superscript"/>
              </w:rPr>
              <w:t>)</w:t>
            </w:r>
            <w:r w:rsidRPr="00A963EA">
              <w:rPr>
                <w:color w:val="FF0000"/>
              </w:rPr>
              <w:t>.</w:t>
            </w:r>
          </w:p>
        </w:tc>
        <w:tc>
          <w:tcPr>
            <w:tcW w:w="573" w:type="dxa"/>
            <w:vMerge/>
          </w:tcPr>
          <w:p w:rsidR="00FC58CC" w:rsidRDefault="00FC58CC" w:rsidP="00FC58CC">
            <w:pPr>
              <w:contextualSpacing/>
              <w:jc w:val="center"/>
            </w:pPr>
          </w:p>
        </w:tc>
      </w:tr>
      <w:tr w:rsidR="00FC58CC" w:rsidTr="00200908">
        <w:tc>
          <w:tcPr>
            <w:tcW w:w="9635" w:type="dxa"/>
            <w:gridSpan w:val="3"/>
          </w:tcPr>
          <w:p w:rsidR="00FC58CC" w:rsidRDefault="00FC58CC" w:rsidP="00FC58CC">
            <w:pPr>
              <w:contextualSpacing/>
              <w:jc w:val="center"/>
            </w:pPr>
          </w:p>
        </w:tc>
      </w:tr>
      <w:tr w:rsidR="00FC58CC" w:rsidTr="001B730A">
        <w:tc>
          <w:tcPr>
            <w:tcW w:w="704" w:type="dxa"/>
            <w:vMerge w:val="restart"/>
            <w:shd w:val="clear" w:color="auto" w:fill="auto"/>
          </w:tcPr>
          <w:p w:rsidR="00FC58CC" w:rsidRDefault="00FC58CC" w:rsidP="00FC58CC">
            <w:pPr>
              <w:contextualSpacing/>
            </w:pPr>
            <w:r>
              <w:t>2.2</w:t>
            </w:r>
          </w:p>
        </w:tc>
        <w:tc>
          <w:tcPr>
            <w:tcW w:w="8358" w:type="dxa"/>
          </w:tcPr>
          <w:p w:rsidR="00FC58CC" w:rsidRDefault="00FC58CC" w:rsidP="00C45393">
            <w:pPr>
              <w:contextualSpacing/>
              <w:jc w:val="both"/>
            </w:pPr>
            <w:r>
              <w:t>In terms of the rules of the SACAP Code of Professional Conduct, what</w:t>
            </w:r>
            <w:r w:rsidR="00C45393">
              <w:t xml:space="preserve"> three factors</w:t>
            </w:r>
            <w:r>
              <w:t xml:space="preserve"> determine the type of architectural practice that may be formed?</w:t>
            </w:r>
          </w:p>
        </w:tc>
        <w:tc>
          <w:tcPr>
            <w:tcW w:w="573" w:type="dxa"/>
            <w:vMerge w:val="restart"/>
          </w:tcPr>
          <w:p w:rsidR="00FC58CC" w:rsidRDefault="00FC58CC" w:rsidP="00FC58CC">
            <w:pPr>
              <w:contextualSpacing/>
              <w:jc w:val="center"/>
            </w:pPr>
            <w:r>
              <w:t>(6)</w:t>
            </w:r>
          </w:p>
        </w:tc>
      </w:tr>
      <w:tr w:rsidR="00FC58CC" w:rsidTr="001B730A">
        <w:tc>
          <w:tcPr>
            <w:tcW w:w="704" w:type="dxa"/>
            <w:vMerge/>
            <w:shd w:val="clear" w:color="auto" w:fill="auto"/>
          </w:tcPr>
          <w:p w:rsidR="00FC58CC" w:rsidRDefault="00FC58CC" w:rsidP="00FC58CC">
            <w:pPr>
              <w:contextualSpacing/>
            </w:pPr>
          </w:p>
        </w:tc>
        <w:tc>
          <w:tcPr>
            <w:tcW w:w="8358" w:type="dxa"/>
          </w:tcPr>
          <w:p w:rsidR="00FC58CC" w:rsidRPr="00FC58CC" w:rsidRDefault="00FC58CC" w:rsidP="00FC58CC">
            <w:pPr>
              <w:contextualSpacing/>
              <w:jc w:val="both"/>
              <w:rPr>
                <w:color w:val="FF0000"/>
              </w:rPr>
            </w:pPr>
            <w:r w:rsidRPr="00FC58CC">
              <w:rPr>
                <w:color w:val="FF0000"/>
              </w:rPr>
              <w:t>The registration category</w:t>
            </w:r>
            <w:r w:rsidR="004B6A01">
              <w:rPr>
                <w:color w:val="FF0000"/>
              </w:rPr>
              <w:t xml:space="preserve"> </w:t>
            </w:r>
            <w:r w:rsidR="004B6A01">
              <w:rPr>
                <w:color w:val="FF0000"/>
                <w:vertAlign w:val="superscript"/>
              </w:rPr>
              <w:t>(2)</w:t>
            </w:r>
            <w:r w:rsidRPr="00FC58CC">
              <w:rPr>
                <w:color w:val="FF0000"/>
              </w:rPr>
              <w:t xml:space="preserve"> of the most senior person </w:t>
            </w:r>
            <w:r w:rsidR="004B6A01">
              <w:rPr>
                <w:color w:val="FF0000"/>
                <w:vertAlign w:val="superscript"/>
              </w:rPr>
              <w:t>(2)</w:t>
            </w:r>
            <w:r w:rsidR="004B6A01">
              <w:rPr>
                <w:color w:val="FF0000"/>
              </w:rPr>
              <w:t xml:space="preserve"> </w:t>
            </w:r>
            <w:r w:rsidRPr="00FC58CC">
              <w:rPr>
                <w:color w:val="FF0000"/>
              </w:rPr>
              <w:t>actively practicing in the practice</w:t>
            </w:r>
            <w:r w:rsidR="004B6A01">
              <w:rPr>
                <w:color w:val="FF0000"/>
              </w:rPr>
              <w:t xml:space="preserve"> </w:t>
            </w:r>
            <w:r w:rsidR="004B6A01">
              <w:rPr>
                <w:color w:val="FF0000"/>
                <w:vertAlign w:val="superscript"/>
              </w:rPr>
              <w:t>(2)</w:t>
            </w:r>
          </w:p>
        </w:tc>
        <w:tc>
          <w:tcPr>
            <w:tcW w:w="573" w:type="dxa"/>
            <w:vMerge/>
          </w:tcPr>
          <w:p w:rsidR="00FC58CC" w:rsidRDefault="00FC58CC" w:rsidP="00FC58CC">
            <w:pPr>
              <w:contextualSpacing/>
              <w:jc w:val="center"/>
            </w:pPr>
          </w:p>
        </w:tc>
      </w:tr>
      <w:tr w:rsidR="004B6A01" w:rsidTr="00200908">
        <w:tc>
          <w:tcPr>
            <w:tcW w:w="9635" w:type="dxa"/>
            <w:gridSpan w:val="3"/>
          </w:tcPr>
          <w:p w:rsidR="004B6A01" w:rsidRDefault="004B6A01" w:rsidP="00FC58CC">
            <w:pPr>
              <w:contextualSpacing/>
              <w:jc w:val="center"/>
            </w:pPr>
          </w:p>
        </w:tc>
      </w:tr>
      <w:tr w:rsidR="004B6A01" w:rsidTr="00407416">
        <w:tc>
          <w:tcPr>
            <w:tcW w:w="704" w:type="dxa"/>
            <w:vMerge w:val="restart"/>
          </w:tcPr>
          <w:p w:rsidR="004B6A01" w:rsidRDefault="004B6A01" w:rsidP="00FC58CC">
            <w:pPr>
              <w:contextualSpacing/>
            </w:pPr>
            <w:r>
              <w:t>2.3</w:t>
            </w:r>
          </w:p>
        </w:tc>
        <w:tc>
          <w:tcPr>
            <w:tcW w:w="8358" w:type="dxa"/>
          </w:tcPr>
          <w:p w:rsidR="004B6A01" w:rsidRDefault="004B6A01" w:rsidP="00E8378A">
            <w:pPr>
              <w:contextualSpacing/>
              <w:jc w:val="both"/>
            </w:pPr>
            <w:r>
              <w:t xml:space="preserve">Identify </w:t>
            </w:r>
            <w:r w:rsidR="007B1773">
              <w:t xml:space="preserve">six </w:t>
            </w:r>
            <w:r>
              <w:t xml:space="preserve">terms of the appointment </w:t>
            </w:r>
            <w:r w:rsidR="00E8378A">
              <w:t>of</w:t>
            </w:r>
            <w:r>
              <w:t xml:space="preserve"> an architectural professional that must be clearly set out in writing in terms of the rules of the SACAP Code of Professional Conduct.</w:t>
            </w:r>
          </w:p>
        </w:tc>
        <w:tc>
          <w:tcPr>
            <w:tcW w:w="573" w:type="dxa"/>
            <w:vMerge w:val="restart"/>
          </w:tcPr>
          <w:p w:rsidR="004B6A01" w:rsidRDefault="004B6A01" w:rsidP="00FC58CC">
            <w:pPr>
              <w:contextualSpacing/>
              <w:jc w:val="center"/>
            </w:pPr>
            <w:r>
              <w:t>(12)</w:t>
            </w:r>
          </w:p>
        </w:tc>
      </w:tr>
      <w:tr w:rsidR="004B6A01" w:rsidTr="00407416">
        <w:tc>
          <w:tcPr>
            <w:tcW w:w="704" w:type="dxa"/>
            <w:vMerge/>
          </w:tcPr>
          <w:p w:rsidR="004B6A01" w:rsidRDefault="004B6A01" w:rsidP="00FC58CC">
            <w:pPr>
              <w:contextualSpacing/>
            </w:pPr>
          </w:p>
        </w:tc>
        <w:tc>
          <w:tcPr>
            <w:tcW w:w="8358" w:type="dxa"/>
          </w:tcPr>
          <w:p w:rsidR="00B96C79" w:rsidRPr="00033B23" w:rsidRDefault="00B96C79" w:rsidP="00B96C79">
            <w:pPr>
              <w:contextualSpacing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Any of the following – 2 marks for each</w:t>
            </w:r>
            <w:r w:rsidR="006F32B7">
              <w:rPr>
                <w:i/>
                <w:color w:val="FF0000"/>
              </w:rPr>
              <w:t xml:space="preserve"> (total 12 marks)</w:t>
            </w:r>
            <w:r>
              <w:rPr>
                <w:i/>
                <w:color w:val="FF0000"/>
              </w:rPr>
              <w:t>:</w:t>
            </w:r>
          </w:p>
          <w:p w:rsidR="007B1773" w:rsidRPr="004B6A01" w:rsidRDefault="004B6A01" w:rsidP="00B96C79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4B6A01">
              <w:rPr>
                <w:color w:val="FF0000"/>
              </w:rPr>
              <w:t>The scope of the project or the works</w:t>
            </w:r>
          </w:p>
          <w:p w:rsidR="004B6A01" w:rsidRPr="004B6A01" w:rsidRDefault="004B6A01" w:rsidP="00B96C79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4B6A01">
              <w:rPr>
                <w:color w:val="FF0000"/>
              </w:rPr>
              <w:t>The scope of the services to be provided</w:t>
            </w:r>
          </w:p>
          <w:p w:rsidR="004B6A01" w:rsidRPr="004B6A01" w:rsidRDefault="004B6A01" w:rsidP="00B96C79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4B6A01">
              <w:rPr>
                <w:color w:val="FF0000"/>
              </w:rPr>
              <w:t>The allocation and limitation of responsibilities</w:t>
            </w:r>
          </w:p>
          <w:p w:rsidR="004B6A01" w:rsidRPr="004B6A01" w:rsidRDefault="004B6A01" w:rsidP="00B96C79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4B6A01">
              <w:rPr>
                <w:color w:val="FF0000"/>
              </w:rPr>
              <w:t>The fee payable for the work or services, the method for calculation of the fees, and the work stage(s) at which fees will be payable</w:t>
            </w:r>
          </w:p>
          <w:p w:rsidR="004B6A01" w:rsidRPr="004B6A01" w:rsidRDefault="004B6A01" w:rsidP="00B96C79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4B6A01">
              <w:rPr>
                <w:color w:val="FF0000"/>
              </w:rPr>
              <w:t>The budget (if applicable) or other cost limit for the project, work or service and the method and implication of estimating costs</w:t>
            </w:r>
          </w:p>
          <w:p w:rsidR="004B6A01" w:rsidRPr="004B6A01" w:rsidRDefault="004B6A01" w:rsidP="00B96C79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4B6A01">
              <w:rPr>
                <w:color w:val="FF0000"/>
              </w:rPr>
              <w:t>Provisions for termination of the agreement</w:t>
            </w:r>
          </w:p>
          <w:p w:rsidR="004B6A01" w:rsidRPr="004B6A01" w:rsidRDefault="004B6A01" w:rsidP="00B96C79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4B6A01">
              <w:rPr>
                <w:color w:val="FF0000"/>
              </w:rPr>
              <w:t>Details of the professional indemnity insurance</w:t>
            </w:r>
          </w:p>
          <w:p w:rsidR="004B6A01" w:rsidRDefault="004B6A01" w:rsidP="00B96C79">
            <w:pPr>
              <w:pStyle w:val="ListParagraph"/>
              <w:numPr>
                <w:ilvl w:val="0"/>
                <w:numId w:val="31"/>
              </w:numPr>
              <w:ind w:left="321" w:hanging="283"/>
            </w:pPr>
            <w:r w:rsidRPr="004B6A01">
              <w:rPr>
                <w:color w:val="FF0000"/>
              </w:rPr>
              <w:t>Provision for dispute resolution</w:t>
            </w:r>
          </w:p>
        </w:tc>
        <w:tc>
          <w:tcPr>
            <w:tcW w:w="573" w:type="dxa"/>
            <w:vMerge/>
          </w:tcPr>
          <w:p w:rsidR="004B6A01" w:rsidRDefault="004B6A01" w:rsidP="00FC58CC">
            <w:pPr>
              <w:contextualSpacing/>
              <w:jc w:val="center"/>
            </w:pPr>
          </w:p>
        </w:tc>
      </w:tr>
      <w:tr w:rsidR="00C113E0" w:rsidTr="00407416">
        <w:tc>
          <w:tcPr>
            <w:tcW w:w="704" w:type="dxa"/>
          </w:tcPr>
          <w:p w:rsidR="00C113E0" w:rsidRDefault="00C113E0" w:rsidP="00FC58CC">
            <w:pPr>
              <w:contextualSpacing/>
            </w:pPr>
          </w:p>
        </w:tc>
        <w:tc>
          <w:tcPr>
            <w:tcW w:w="8358" w:type="dxa"/>
          </w:tcPr>
          <w:p w:rsidR="00C113E0" w:rsidRDefault="00C113E0" w:rsidP="004B6A01">
            <w:pPr>
              <w:contextualSpacing/>
              <w:jc w:val="both"/>
              <w:rPr>
                <w:i/>
                <w:color w:val="FF0000"/>
              </w:rPr>
            </w:pPr>
          </w:p>
        </w:tc>
        <w:tc>
          <w:tcPr>
            <w:tcW w:w="573" w:type="dxa"/>
          </w:tcPr>
          <w:p w:rsidR="00C113E0" w:rsidRDefault="00C113E0" w:rsidP="00FC58CC">
            <w:pPr>
              <w:contextualSpacing/>
              <w:jc w:val="center"/>
            </w:pPr>
          </w:p>
        </w:tc>
      </w:tr>
      <w:tr w:rsidR="00033B23" w:rsidTr="00407416">
        <w:tc>
          <w:tcPr>
            <w:tcW w:w="704" w:type="dxa"/>
            <w:vMerge w:val="restart"/>
          </w:tcPr>
          <w:p w:rsidR="00033B23" w:rsidRDefault="00033B23" w:rsidP="00FC58CC">
            <w:pPr>
              <w:contextualSpacing/>
            </w:pPr>
            <w:r>
              <w:t>2.4</w:t>
            </w:r>
          </w:p>
        </w:tc>
        <w:tc>
          <w:tcPr>
            <w:tcW w:w="8358" w:type="dxa"/>
          </w:tcPr>
          <w:p w:rsidR="00033B23" w:rsidRDefault="00033B23" w:rsidP="00974089">
            <w:pPr>
              <w:contextualSpacing/>
              <w:jc w:val="both"/>
              <w:rPr>
                <w:i/>
                <w:color w:val="FF0000"/>
              </w:rPr>
            </w:pPr>
            <w:r>
              <w:t xml:space="preserve">What </w:t>
            </w:r>
            <w:r w:rsidR="00974089">
              <w:t>is the difference</w:t>
            </w:r>
            <w:r>
              <w:t xml:space="preserve"> between the terms 'registered principals' and 'registered professional'</w:t>
            </w:r>
            <w:r w:rsidR="0080794E">
              <w:t xml:space="preserve"> as found in the SACAP Code of Professional Conduct</w:t>
            </w:r>
            <w:r>
              <w:t>?</w:t>
            </w:r>
          </w:p>
        </w:tc>
        <w:tc>
          <w:tcPr>
            <w:tcW w:w="573" w:type="dxa"/>
            <w:vMerge w:val="restart"/>
          </w:tcPr>
          <w:p w:rsidR="00033B23" w:rsidRDefault="00033B23" w:rsidP="00FC58CC">
            <w:pPr>
              <w:contextualSpacing/>
              <w:jc w:val="center"/>
            </w:pPr>
            <w:r>
              <w:t>(4)</w:t>
            </w:r>
          </w:p>
        </w:tc>
      </w:tr>
      <w:tr w:rsidR="00033B23" w:rsidTr="00407416">
        <w:tc>
          <w:tcPr>
            <w:tcW w:w="704" w:type="dxa"/>
            <w:vMerge/>
          </w:tcPr>
          <w:p w:rsidR="00033B23" w:rsidRDefault="00033B23" w:rsidP="00FC58CC">
            <w:pPr>
              <w:contextualSpacing/>
            </w:pPr>
          </w:p>
        </w:tc>
        <w:tc>
          <w:tcPr>
            <w:tcW w:w="8358" w:type="dxa"/>
          </w:tcPr>
          <w:p w:rsidR="00033B23" w:rsidRPr="00033B23" w:rsidRDefault="00033B23" w:rsidP="004B6A01">
            <w:pPr>
              <w:contextualSpacing/>
              <w:jc w:val="both"/>
              <w:rPr>
                <w:i/>
                <w:color w:val="FF0000"/>
              </w:rPr>
            </w:pPr>
            <w:r w:rsidRPr="00033B23">
              <w:rPr>
                <w:color w:val="FF0000"/>
              </w:rPr>
              <w:t xml:space="preserve">Registered </w:t>
            </w:r>
            <w:r w:rsidRPr="0080794E">
              <w:rPr>
                <w:b/>
                <w:color w:val="FF0000"/>
              </w:rPr>
              <w:t>principals</w:t>
            </w:r>
            <w:r w:rsidRPr="00033B23">
              <w:rPr>
                <w:color w:val="FF0000"/>
              </w:rPr>
              <w:t xml:space="preserve">: the </w:t>
            </w:r>
            <w:r w:rsidRPr="00033B23">
              <w:rPr>
                <w:color w:val="FF0000"/>
                <w:u w:val="single"/>
              </w:rPr>
              <w:t>shareholders</w:t>
            </w:r>
            <w:r w:rsidRPr="00033B23">
              <w:rPr>
                <w:color w:val="FF0000"/>
              </w:rPr>
              <w:t xml:space="preserve"> in a practice who are registered in terms of the Act</w:t>
            </w:r>
            <w:r>
              <w:rPr>
                <w:color w:val="FF0000"/>
              </w:rPr>
              <w:t xml:space="preserve">. </w:t>
            </w:r>
            <w:r>
              <w:rPr>
                <w:i/>
                <w:color w:val="FF0000"/>
              </w:rPr>
              <w:t>(2 marks)</w:t>
            </w:r>
          </w:p>
          <w:p w:rsidR="00033B23" w:rsidRPr="00033B23" w:rsidRDefault="00033B23" w:rsidP="00033B23">
            <w:pPr>
              <w:contextualSpacing/>
              <w:jc w:val="both"/>
            </w:pPr>
            <w:r w:rsidRPr="00033B23">
              <w:rPr>
                <w:color w:val="FF0000"/>
              </w:rPr>
              <w:t xml:space="preserve">Registered </w:t>
            </w:r>
            <w:r w:rsidRPr="0080794E">
              <w:rPr>
                <w:b/>
                <w:color w:val="FF0000"/>
              </w:rPr>
              <w:t>professional</w:t>
            </w:r>
            <w:r w:rsidRPr="00033B23">
              <w:rPr>
                <w:color w:val="FF0000"/>
              </w:rPr>
              <w:t xml:space="preserve">: a person </w:t>
            </w:r>
            <w:r w:rsidRPr="00033B23">
              <w:rPr>
                <w:color w:val="FF0000"/>
                <w:u w:val="single"/>
              </w:rPr>
              <w:t>registered in one of the categories</w:t>
            </w:r>
            <w:r w:rsidRPr="00033B23">
              <w:rPr>
                <w:color w:val="FF0000"/>
              </w:rPr>
              <w:t xml:space="preserve"> of professionals referred to in terms </w:t>
            </w:r>
            <w:r>
              <w:rPr>
                <w:color w:val="FF0000"/>
              </w:rPr>
              <w:t xml:space="preserve">of the Act. </w:t>
            </w:r>
            <w:r>
              <w:rPr>
                <w:i/>
                <w:color w:val="FF0000"/>
              </w:rPr>
              <w:t>(2 marks)</w:t>
            </w:r>
          </w:p>
        </w:tc>
        <w:tc>
          <w:tcPr>
            <w:tcW w:w="573" w:type="dxa"/>
            <w:vMerge/>
          </w:tcPr>
          <w:p w:rsidR="00033B23" w:rsidRDefault="00033B23" w:rsidP="00FC58CC">
            <w:pPr>
              <w:contextualSpacing/>
              <w:jc w:val="center"/>
            </w:pPr>
          </w:p>
        </w:tc>
      </w:tr>
      <w:tr w:rsidR="00033B23" w:rsidTr="00CB292D">
        <w:tc>
          <w:tcPr>
            <w:tcW w:w="9635" w:type="dxa"/>
            <w:gridSpan w:val="3"/>
          </w:tcPr>
          <w:p w:rsidR="00033B23" w:rsidRDefault="00033B23" w:rsidP="00FC58CC">
            <w:pPr>
              <w:contextualSpacing/>
              <w:jc w:val="center"/>
            </w:pPr>
          </w:p>
        </w:tc>
      </w:tr>
      <w:tr w:rsidR="00033B23" w:rsidTr="00407416">
        <w:tc>
          <w:tcPr>
            <w:tcW w:w="704" w:type="dxa"/>
            <w:vMerge w:val="restart"/>
          </w:tcPr>
          <w:p w:rsidR="00033B23" w:rsidRDefault="00033B23" w:rsidP="00FC58CC">
            <w:pPr>
              <w:contextualSpacing/>
            </w:pPr>
            <w:r>
              <w:t>2.5</w:t>
            </w:r>
          </w:p>
        </w:tc>
        <w:tc>
          <w:tcPr>
            <w:tcW w:w="8358" w:type="dxa"/>
          </w:tcPr>
          <w:p w:rsidR="00033B23" w:rsidRPr="00033B23" w:rsidRDefault="00033B23" w:rsidP="004B6A01">
            <w:pPr>
              <w:contextualSpacing/>
              <w:jc w:val="both"/>
            </w:pPr>
            <w:r>
              <w:t xml:space="preserve">Is it correct </w:t>
            </w:r>
            <w:r w:rsidR="00974089">
              <w:t xml:space="preserve">or incorrect </w:t>
            </w:r>
            <w:r>
              <w:t>to state that an architectural practice must be registered with SACAP?</w:t>
            </w:r>
          </w:p>
        </w:tc>
        <w:tc>
          <w:tcPr>
            <w:tcW w:w="573" w:type="dxa"/>
            <w:vMerge w:val="restart"/>
          </w:tcPr>
          <w:p w:rsidR="00033B23" w:rsidRDefault="00033B23" w:rsidP="00FC58CC">
            <w:pPr>
              <w:contextualSpacing/>
              <w:jc w:val="center"/>
            </w:pPr>
            <w:r>
              <w:t>(2)</w:t>
            </w:r>
          </w:p>
        </w:tc>
      </w:tr>
      <w:tr w:rsidR="00033B23" w:rsidTr="00407416">
        <w:tc>
          <w:tcPr>
            <w:tcW w:w="704" w:type="dxa"/>
            <w:vMerge/>
          </w:tcPr>
          <w:p w:rsidR="00033B23" w:rsidRDefault="00033B23" w:rsidP="00FC58CC">
            <w:pPr>
              <w:contextualSpacing/>
            </w:pPr>
          </w:p>
        </w:tc>
        <w:tc>
          <w:tcPr>
            <w:tcW w:w="8358" w:type="dxa"/>
          </w:tcPr>
          <w:p w:rsidR="00033B23" w:rsidRPr="00033B23" w:rsidRDefault="00974089" w:rsidP="00974089">
            <w:pPr>
              <w:contextualSpacing/>
              <w:jc w:val="both"/>
            </w:pPr>
            <w:r>
              <w:rPr>
                <w:b/>
                <w:color w:val="FF0000"/>
              </w:rPr>
              <w:t>INCORRECT</w:t>
            </w:r>
            <w:r w:rsidR="00E8378A">
              <w:rPr>
                <w:color w:val="FF0000"/>
              </w:rPr>
              <w:t xml:space="preserve"> (</w:t>
            </w:r>
            <w:r w:rsidR="00033B23" w:rsidRPr="00E8378A">
              <w:rPr>
                <w:i/>
                <w:color w:val="FF0000"/>
              </w:rPr>
              <w:t xml:space="preserve">SACAP must be </w:t>
            </w:r>
            <w:r w:rsidR="00033B23" w:rsidRPr="00E8378A">
              <w:rPr>
                <w:i/>
                <w:color w:val="FF0000"/>
                <w:u w:val="single"/>
              </w:rPr>
              <w:t>informed</w:t>
            </w:r>
            <w:r w:rsidR="00033B23" w:rsidRPr="00E8378A">
              <w:rPr>
                <w:i/>
                <w:color w:val="FF0000"/>
              </w:rPr>
              <w:t xml:space="preserve"> of the details of the practice after its establishment</w:t>
            </w:r>
            <w:r w:rsidR="00E8378A">
              <w:rPr>
                <w:color w:val="FF0000"/>
              </w:rPr>
              <w:t>)</w:t>
            </w:r>
          </w:p>
        </w:tc>
        <w:tc>
          <w:tcPr>
            <w:tcW w:w="573" w:type="dxa"/>
            <w:vMerge/>
          </w:tcPr>
          <w:p w:rsidR="00033B23" w:rsidRDefault="00033B23" w:rsidP="00FC58CC">
            <w:pPr>
              <w:contextualSpacing/>
              <w:jc w:val="center"/>
            </w:pPr>
          </w:p>
        </w:tc>
      </w:tr>
      <w:tr w:rsidR="004B6A01" w:rsidTr="00200908">
        <w:tc>
          <w:tcPr>
            <w:tcW w:w="9635" w:type="dxa"/>
            <w:gridSpan w:val="3"/>
          </w:tcPr>
          <w:p w:rsidR="004B6A01" w:rsidRDefault="004B6A01" w:rsidP="00FC58CC">
            <w:pPr>
              <w:contextualSpacing/>
              <w:jc w:val="center"/>
            </w:pPr>
          </w:p>
        </w:tc>
      </w:tr>
    </w:tbl>
    <w:p w:rsidR="000532B8" w:rsidRDefault="000532B8" w:rsidP="00415E9F">
      <w:pPr>
        <w:spacing w:after="0" w:line="240" w:lineRule="auto"/>
        <w:contextualSpacing/>
        <w:jc w:val="both"/>
      </w:pPr>
    </w:p>
    <w:p w:rsidR="000532B8" w:rsidRDefault="000532B8" w:rsidP="00415E9F">
      <w:pPr>
        <w:spacing w:after="0" w:line="240" w:lineRule="auto"/>
        <w:contextualSpacing/>
        <w:jc w:val="both"/>
      </w:pPr>
    </w:p>
    <w:p w:rsidR="00614BC4" w:rsidRPr="008F2399" w:rsidRDefault="00850233" w:rsidP="00614BC4">
      <w:pPr>
        <w:pBdr>
          <w:bottom w:val="single" w:sz="8" w:space="1" w:color="7F7F7F" w:themeColor="text1" w:themeTint="80"/>
        </w:pBdr>
        <w:spacing w:after="0" w:line="240" w:lineRule="auto"/>
        <w:contextualSpacing/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</w:pP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>QUESTION 3</w:t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377461"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>4</w:t>
      </w:r>
      <w:r w:rsidR="00475F39"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>0</w:t>
      </w:r>
      <w:r w:rsidR="00614BC4" w:rsidRPr="000E439C"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 xml:space="preserve"> marks</w:t>
      </w:r>
    </w:p>
    <w:p w:rsidR="004D5764" w:rsidRDefault="004D5764" w:rsidP="00415E9F">
      <w:pPr>
        <w:spacing w:after="0" w:line="240" w:lineRule="auto"/>
        <w:contextualSpacing/>
        <w:jc w:val="both"/>
      </w:pPr>
    </w:p>
    <w:tbl>
      <w:tblPr>
        <w:tblStyle w:val="TableGrid"/>
        <w:tblW w:w="963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4"/>
        <w:gridCol w:w="8358"/>
        <w:gridCol w:w="573"/>
      </w:tblGrid>
      <w:tr w:rsidR="00A12EBC" w:rsidTr="00274B23">
        <w:tc>
          <w:tcPr>
            <w:tcW w:w="9635" w:type="dxa"/>
            <w:gridSpan w:val="3"/>
          </w:tcPr>
          <w:p w:rsidR="00A12EBC" w:rsidRDefault="00A12EBC" w:rsidP="003E53FD">
            <w:pPr>
              <w:contextualSpacing/>
              <w:jc w:val="both"/>
            </w:pPr>
            <w:r>
              <w:t xml:space="preserve">The standard </w:t>
            </w:r>
            <w:r w:rsidR="00033B23">
              <w:t xml:space="preserve">("full") </w:t>
            </w:r>
            <w:r>
              <w:t>scope of an architectural professional’s service is to fulfil the role</w:t>
            </w:r>
            <w:r w:rsidR="009C73CF">
              <w:t>s</w:t>
            </w:r>
            <w:r>
              <w:t xml:space="preserve"> and obligations of architectural professional, principal consultant and principal agent. You have been approached by a client to carry out architectural services on a </w:t>
            </w:r>
            <w:r w:rsidR="0064306D">
              <w:t>new</w:t>
            </w:r>
            <w:r>
              <w:t xml:space="preserve"> office building</w:t>
            </w:r>
            <w:r w:rsidR="0064306D">
              <w:t xml:space="preserve"> with a very limited timeframe</w:t>
            </w:r>
            <w:r>
              <w:t xml:space="preserve"> and are being faced with numerous questions from the client rega</w:t>
            </w:r>
            <w:r w:rsidR="003D17F5">
              <w:t>rding your role</w:t>
            </w:r>
            <w:r w:rsidR="009C73CF">
              <w:t>s</w:t>
            </w:r>
            <w:r w:rsidR="003D17F5">
              <w:t xml:space="preserve"> on the project. </w:t>
            </w:r>
            <w:r>
              <w:t xml:space="preserve">The client is unfamiliar </w:t>
            </w:r>
            <w:r>
              <w:lastRenderedPageBreak/>
              <w:t xml:space="preserve">with the processes involved in designing a building and has questioned </w:t>
            </w:r>
            <w:r w:rsidR="00412582">
              <w:t xml:space="preserve">your roles and </w:t>
            </w:r>
            <w:r>
              <w:t xml:space="preserve">the need </w:t>
            </w:r>
            <w:r w:rsidR="0064306D">
              <w:t xml:space="preserve">for your service in </w:t>
            </w:r>
            <w:r>
              <w:t xml:space="preserve">work stage </w:t>
            </w:r>
            <w:r w:rsidR="00E26DDC">
              <w:t>3</w:t>
            </w:r>
            <w:r>
              <w:t xml:space="preserve"> over and above the work in work stage 2.</w:t>
            </w:r>
          </w:p>
        </w:tc>
      </w:tr>
      <w:tr w:rsidR="00A12EBC" w:rsidTr="00387519">
        <w:tc>
          <w:tcPr>
            <w:tcW w:w="9635" w:type="dxa"/>
            <w:gridSpan w:val="3"/>
          </w:tcPr>
          <w:p w:rsidR="00A12EBC" w:rsidRDefault="00A12EBC" w:rsidP="00200908">
            <w:pPr>
              <w:contextualSpacing/>
              <w:jc w:val="center"/>
            </w:pPr>
          </w:p>
        </w:tc>
      </w:tr>
      <w:tr w:rsidR="0080794E" w:rsidTr="00200908">
        <w:tc>
          <w:tcPr>
            <w:tcW w:w="704" w:type="dxa"/>
            <w:vMerge w:val="restart"/>
          </w:tcPr>
          <w:p w:rsidR="0080794E" w:rsidRDefault="0080794E" w:rsidP="00200908">
            <w:pPr>
              <w:contextualSpacing/>
            </w:pPr>
            <w:r>
              <w:t>3.1</w:t>
            </w:r>
          </w:p>
        </w:tc>
        <w:tc>
          <w:tcPr>
            <w:tcW w:w="8358" w:type="dxa"/>
          </w:tcPr>
          <w:p w:rsidR="00E8378A" w:rsidRPr="00A020CB" w:rsidRDefault="0080794E" w:rsidP="00E8378A">
            <w:pPr>
              <w:contextualSpacing/>
              <w:jc w:val="both"/>
            </w:pPr>
            <w:r>
              <w:t>In response to the client’s q</w:t>
            </w:r>
            <w:r w:rsidR="00E8378A">
              <w:t>ueries, provide an outline of two</w:t>
            </w:r>
            <w:r>
              <w:t xml:space="preserve"> different obligations of </w:t>
            </w:r>
            <w:r w:rsidR="00E8378A">
              <w:t xml:space="preserve">the </w:t>
            </w:r>
            <w:r>
              <w:t>architectural professional, principal consultant and</w:t>
            </w:r>
            <w:r w:rsidR="00E8378A">
              <w:t xml:space="preserve"> principal agent </w:t>
            </w:r>
            <w:r w:rsidR="00A020CB">
              <w:t xml:space="preserve">on the project </w:t>
            </w:r>
            <w:r w:rsidR="00A020CB" w:rsidRPr="00A020CB">
              <w:t>(two obligations for each role).</w:t>
            </w:r>
          </w:p>
        </w:tc>
        <w:tc>
          <w:tcPr>
            <w:tcW w:w="573" w:type="dxa"/>
            <w:vMerge w:val="restart"/>
          </w:tcPr>
          <w:p w:rsidR="0080794E" w:rsidRDefault="0080794E" w:rsidP="00200908">
            <w:pPr>
              <w:contextualSpacing/>
              <w:jc w:val="center"/>
            </w:pPr>
            <w:r>
              <w:t>(6)</w:t>
            </w:r>
          </w:p>
        </w:tc>
      </w:tr>
      <w:tr w:rsidR="0080794E" w:rsidTr="00200908">
        <w:tc>
          <w:tcPr>
            <w:tcW w:w="704" w:type="dxa"/>
            <w:vMerge/>
          </w:tcPr>
          <w:p w:rsidR="0080794E" w:rsidRDefault="0080794E" w:rsidP="00200908">
            <w:pPr>
              <w:contextualSpacing/>
            </w:pPr>
          </w:p>
        </w:tc>
        <w:tc>
          <w:tcPr>
            <w:tcW w:w="8358" w:type="dxa"/>
          </w:tcPr>
          <w:p w:rsidR="0080794E" w:rsidRPr="00FF01B7" w:rsidRDefault="0080794E" w:rsidP="00B067C6">
            <w:pPr>
              <w:contextualSpacing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Any of the following or in a similar vein – 2 marks for each role</w:t>
            </w:r>
            <w:r w:rsidR="006F32B7">
              <w:rPr>
                <w:i/>
                <w:color w:val="FF0000"/>
              </w:rPr>
              <w:t xml:space="preserve"> (total 6 marks)</w:t>
            </w:r>
            <w:r>
              <w:rPr>
                <w:i/>
                <w:color w:val="FF0000"/>
              </w:rPr>
              <w:t>:</w:t>
            </w:r>
          </w:p>
          <w:p w:rsidR="0080794E" w:rsidRPr="00412582" w:rsidRDefault="0080794E" w:rsidP="00B067C6">
            <w:pPr>
              <w:contextualSpacing/>
              <w:jc w:val="both"/>
              <w:rPr>
                <w:b/>
                <w:color w:val="FF0000"/>
              </w:rPr>
            </w:pPr>
            <w:r w:rsidRPr="00412582">
              <w:rPr>
                <w:b/>
                <w:color w:val="FF0000"/>
              </w:rPr>
              <w:t>Architectural professional:</w:t>
            </w:r>
          </w:p>
          <w:p w:rsidR="0080794E" w:rsidRPr="00412582" w:rsidRDefault="0080794E" w:rsidP="00B96C79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412582">
              <w:rPr>
                <w:color w:val="FF0000"/>
              </w:rPr>
              <w:t>To furnish the building design</w:t>
            </w:r>
          </w:p>
          <w:p w:rsidR="0080794E" w:rsidRPr="00412582" w:rsidRDefault="0080794E" w:rsidP="00B96C79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412582">
              <w:rPr>
                <w:color w:val="FF0000"/>
              </w:rPr>
              <w:t>To prepare local authority and construction documentation for a project</w:t>
            </w:r>
          </w:p>
          <w:p w:rsidR="0080794E" w:rsidRPr="00412582" w:rsidRDefault="0080794E" w:rsidP="00B96C79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412582">
              <w:rPr>
                <w:color w:val="FF0000"/>
              </w:rPr>
              <w:t>To evaluate the work of the contractor during the construction work stage</w:t>
            </w:r>
          </w:p>
          <w:p w:rsidR="0080794E" w:rsidRPr="00412582" w:rsidRDefault="0080794E" w:rsidP="00412582">
            <w:pPr>
              <w:contextualSpacing/>
              <w:jc w:val="both"/>
              <w:rPr>
                <w:b/>
                <w:color w:val="FF0000"/>
              </w:rPr>
            </w:pPr>
            <w:r w:rsidRPr="00412582">
              <w:rPr>
                <w:b/>
                <w:color w:val="FF0000"/>
              </w:rPr>
              <w:t>Principal consultant:</w:t>
            </w:r>
          </w:p>
          <w:p w:rsidR="0080794E" w:rsidRPr="00412582" w:rsidRDefault="0080794E" w:rsidP="00B96C79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412582">
              <w:rPr>
                <w:color w:val="FF0000"/>
              </w:rPr>
              <w:t>To administrate the services of the other consultants</w:t>
            </w:r>
          </w:p>
          <w:p w:rsidR="0080794E" w:rsidRPr="00412582" w:rsidRDefault="0080794E" w:rsidP="00B96C79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412582">
              <w:rPr>
                <w:color w:val="FF0000"/>
              </w:rPr>
              <w:t>To coordinate and lead the professional team</w:t>
            </w:r>
          </w:p>
          <w:p w:rsidR="0080794E" w:rsidRPr="00412582" w:rsidRDefault="0080794E" w:rsidP="00412582">
            <w:pPr>
              <w:contextualSpacing/>
              <w:jc w:val="both"/>
              <w:rPr>
                <w:b/>
                <w:color w:val="FF0000"/>
              </w:rPr>
            </w:pPr>
            <w:r w:rsidRPr="00412582">
              <w:rPr>
                <w:b/>
                <w:color w:val="FF0000"/>
              </w:rPr>
              <w:t>Principal agent:</w:t>
            </w:r>
          </w:p>
          <w:p w:rsidR="0080794E" w:rsidRPr="00412582" w:rsidRDefault="0080794E" w:rsidP="00B96C79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412582">
              <w:rPr>
                <w:color w:val="FF0000"/>
              </w:rPr>
              <w:t>To administer the construction contract</w:t>
            </w:r>
          </w:p>
          <w:p w:rsidR="0080794E" w:rsidRPr="00412582" w:rsidRDefault="0080794E" w:rsidP="00B96C79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412582">
              <w:rPr>
                <w:color w:val="FF0000"/>
              </w:rPr>
              <w:t>To certify the stages of completion</w:t>
            </w:r>
          </w:p>
          <w:p w:rsidR="0080794E" w:rsidRDefault="0080794E" w:rsidP="00B96C79">
            <w:pPr>
              <w:pStyle w:val="ListParagraph"/>
              <w:numPr>
                <w:ilvl w:val="0"/>
                <w:numId w:val="31"/>
              </w:numPr>
              <w:ind w:left="321" w:hanging="283"/>
            </w:pPr>
            <w:r w:rsidRPr="00412582">
              <w:rPr>
                <w:color w:val="FF0000"/>
              </w:rPr>
              <w:t>To evaluate claims during the construction work stage</w:t>
            </w:r>
          </w:p>
        </w:tc>
        <w:tc>
          <w:tcPr>
            <w:tcW w:w="573" w:type="dxa"/>
            <w:vMerge/>
          </w:tcPr>
          <w:p w:rsidR="0080794E" w:rsidRDefault="0080794E" w:rsidP="00200908">
            <w:pPr>
              <w:contextualSpacing/>
              <w:jc w:val="center"/>
            </w:pPr>
          </w:p>
        </w:tc>
      </w:tr>
      <w:tr w:rsidR="00FF01B7" w:rsidTr="007D0E8D">
        <w:tc>
          <w:tcPr>
            <w:tcW w:w="9635" w:type="dxa"/>
            <w:gridSpan w:val="3"/>
          </w:tcPr>
          <w:p w:rsidR="00FF01B7" w:rsidRDefault="00FF01B7" w:rsidP="00200908">
            <w:pPr>
              <w:contextualSpacing/>
              <w:jc w:val="center"/>
            </w:pPr>
          </w:p>
        </w:tc>
      </w:tr>
      <w:tr w:rsidR="00A12EBC" w:rsidTr="001B730A">
        <w:tc>
          <w:tcPr>
            <w:tcW w:w="704" w:type="dxa"/>
            <w:vMerge w:val="restart"/>
            <w:shd w:val="clear" w:color="auto" w:fill="auto"/>
          </w:tcPr>
          <w:p w:rsidR="00A12EBC" w:rsidRDefault="00412582" w:rsidP="00200908">
            <w:pPr>
              <w:contextualSpacing/>
            </w:pPr>
            <w:r>
              <w:t>3.2</w:t>
            </w:r>
          </w:p>
        </w:tc>
        <w:tc>
          <w:tcPr>
            <w:tcW w:w="8358" w:type="dxa"/>
          </w:tcPr>
          <w:p w:rsidR="0087198B" w:rsidRDefault="006740D0" w:rsidP="00F46BC1">
            <w:pPr>
              <w:contextualSpacing/>
              <w:jc w:val="both"/>
            </w:pPr>
            <w:r>
              <w:t>The client does not</w:t>
            </w:r>
            <w:r w:rsidR="00E26DDC">
              <w:t xml:space="preserve"> fully</w:t>
            </w:r>
            <w:r>
              <w:t xml:space="preserve"> understand </w:t>
            </w:r>
            <w:r w:rsidR="00E26DDC">
              <w:t xml:space="preserve">the </w:t>
            </w:r>
            <w:r w:rsidR="00B91EBE">
              <w:t>difference between</w:t>
            </w:r>
            <w:r w:rsidR="00E26DDC">
              <w:t xml:space="preserve"> your service in work stage </w:t>
            </w:r>
            <w:r w:rsidR="00897EF8">
              <w:t>2</w:t>
            </w:r>
            <w:r w:rsidR="00E26DDC">
              <w:t xml:space="preserve"> </w:t>
            </w:r>
            <w:r w:rsidR="00B91EBE">
              <w:t xml:space="preserve">and </w:t>
            </w:r>
            <w:r w:rsidR="00E26DDC">
              <w:t xml:space="preserve">work in work stage </w:t>
            </w:r>
            <w:r w:rsidR="00B91EBE">
              <w:t>3</w:t>
            </w:r>
            <w:r w:rsidR="00E26DDC">
              <w:t xml:space="preserve">. </w:t>
            </w:r>
            <w:r w:rsidR="003E53FD">
              <w:t>In order to explain, i</w:t>
            </w:r>
            <w:r>
              <w:t xml:space="preserve">dentify the titles for these two work stages plus the proportion of the total fee to be allocated to each. </w:t>
            </w:r>
            <w:r w:rsidR="003E53FD">
              <w:t>To differentiate between work stage 2 and 3, describe t</w:t>
            </w:r>
            <w:r w:rsidR="00F46BC1">
              <w:t>wo</w:t>
            </w:r>
            <w:r w:rsidR="003E53FD">
              <w:t xml:space="preserve"> aspects of the se</w:t>
            </w:r>
            <w:r w:rsidR="00897EF8">
              <w:t>rvice you will provide for each.</w:t>
            </w:r>
          </w:p>
        </w:tc>
        <w:tc>
          <w:tcPr>
            <w:tcW w:w="573" w:type="dxa"/>
            <w:vMerge w:val="restart"/>
          </w:tcPr>
          <w:p w:rsidR="00A12EBC" w:rsidRDefault="00A12EBC" w:rsidP="00200908">
            <w:pPr>
              <w:contextualSpacing/>
              <w:jc w:val="center"/>
            </w:pPr>
            <w:r>
              <w:t>(</w:t>
            </w:r>
            <w:r w:rsidR="00894BD6">
              <w:t>16</w:t>
            </w:r>
            <w:r>
              <w:t>)</w:t>
            </w:r>
          </w:p>
        </w:tc>
      </w:tr>
      <w:tr w:rsidR="00A12EBC" w:rsidTr="001B730A">
        <w:tc>
          <w:tcPr>
            <w:tcW w:w="704" w:type="dxa"/>
            <w:vMerge/>
            <w:shd w:val="clear" w:color="auto" w:fill="auto"/>
          </w:tcPr>
          <w:p w:rsidR="00A12EBC" w:rsidRDefault="00A12EBC" w:rsidP="00200908">
            <w:pPr>
              <w:contextualSpacing/>
            </w:pPr>
          </w:p>
        </w:tc>
        <w:tc>
          <w:tcPr>
            <w:tcW w:w="8358" w:type="dxa"/>
          </w:tcPr>
          <w:p w:rsidR="00A12EBC" w:rsidRPr="007B1773" w:rsidRDefault="00A12EBC" w:rsidP="0001711E">
            <w:pPr>
              <w:contextualSpacing/>
              <w:jc w:val="both"/>
              <w:rPr>
                <w:i/>
                <w:color w:val="FF0000"/>
              </w:rPr>
            </w:pPr>
            <w:r w:rsidRPr="00B067C6">
              <w:rPr>
                <w:b/>
                <w:color w:val="FF0000"/>
              </w:rPr>
              <w:t>Work Stag</w:t>
            </w:r>
            <w:r>
              <w:rPr>
                <w:b/>
                <w:color w:val="FF0000"/>
              </w:rPr>
              <w:t>e 2:</w:t>
            </w:r>
            <w:r w:rsidRPr="00B067C6">
              <w:rPr>
                <w:b/>
                <w:color w:val="FF0000"/>
              </w:rPr>
              <w:t xml:space="preserve"> Concept and Viability (Design Concept)</w:t>
            </w:r>
            <w:r w:rsidR="007B1773">
              <w:rPr>
                <w:b/>
                <w:color w:val="FF0000"/>
              </w:rPr>
              <w:t xml:space="preserve"> </w:t>
            </w:r>
            <w:r w:rsidR="007B1773">
              <w:rPr>
                <w:i/>
                <w:color w:val="FF0000"/>
              </w:rPr>
              <w:t>(</w:t>
            </w:r>
            <w:r w:rsidR="00894BD6">
              <w:rPr>
                <w:i/>
                <w:color w:val="FF0000"/>
              </w:rPr>
              <w:t>1 mark</w:t>
            </w:r>
            <w:r w:rsidR="007B1773">
              <w:rPr>
                <w:i/>
                <w:color w:val="FF0000"/>
              </w:rPr>
              <w:t>)</w:t>
            </w:r>
          </w:p>
          <w:p w:rsidR="00894BD6" w:rsidRPr="00894BD6" w:rsidRDefault="00894BD6" w:rsidP="007B1773">
            <w:pPr>
              <w:jc w:val="both"/>
              <w:rPr>
                <w:i/>
                <w:color w:val="FF0000"/>
              </w:rPr>
            </w:pPr>
            <w:r>
              <w:rPr>
                <w:color w:val="FF0000"/>
              </w:rPr>
              <w:t xml:space="preserve">15% of total fee </w:t>
            </w:r>
            <w:r>
              <w:rPr>
                <w:i/>
                <w:color w:val="FF0000"/>
              </w:rPr>
              <w:t>(1 mark)</w:t>
            </w:r>
          </w:p>
          <w:p w:rsidR="007B1773" w:rsidRPr="007B1773" w:rsidRDefault="007B1773" w:rsidP="007B1773">
            <w:pPr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(</w:t>
            </w:r>
            <w:r w:rsidR="00F46BC1">
              <w:rPr>
                <w:i/>
                <w:color w:val="FF0000"/>
              </w:rPr>
              <w:t>3</w:t>
            </w:r>
            <w:r>
              <w:rPr>
                <w:i/>
                <w:color w:val="FF0000"/>
              </w:rPr>
              <w:t xml:space="preserve"> marks for </w:t>
            </w:r>
            <w:r w:rsidR="00F46BC1">
              <w:rPr>
                <w:i/>
                <w:color w:val="FF0000"/>
              </w:rPr>
              <w:t>any</w:t>
            </w:r>
            <w:r>
              <w:rPr>
                <w:i/>
                <w:color w:val="FF0000"/>
              </w:rPr>
              <w:t xml:space="preserve"> of the following – total </w:t>
            </w:r>
            <w:r w:rsidR="00894BD6">
              <w:rPr>
                <w:i/>
                <w:color w:val="FF0000"/>
              </w:rPr>
              <w:t>6</w:t>
            </w:r>
            <w:r>
              <w:rPr>
                <w:i/>
                <w:color w:val="FF0000"/>
              </w:rPr>
              <w:t xml:space="preserve"> marks)</w:t>
            </w:r>
          </w:p>
          <w:p w:rsidR="00A12EBC" w:rsidRDefault="00A12EBC" w:rsidP="00B96C79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B067C6">
              <w:rPr>
                <w:color w:val="FF0000"/>
              </w:rPr>
              <w:t>Prepare an initial design and advise on:</w:t>
            </w:r>
          </w:p>
          <w:p w:rsidR="00A12EBC" w:rsidRDefault="00A12EBC" w:rsidP="00B067C6">
            <w:pPr>
              <w:pStyle w:val="ListParagraph"/>
              <w:numPr>
                <w:ilvl w:val="0"/>
                <w:numId w:val="33"/>
              </w:numPr>
              <w:ind w:left="601" w:hanging="241"/>
              <w:jc w:val="both"/>
              <w:rPr>
                <w:color w:val="FF0000"/>
              </w:rPr>
            </w:pPr>
            <w:r>
              <w:rPr>
                <w:color w:val="FF0000"/>
              </w:rPr>
              <w:t>the intended space provisions and planning relationships</w:t>
            </w:r>
          </w:p>
          <w:p w:rsidR="00A12EBC" w:rsidRDefault="00A12EBC" w:rsidP="00B067C6">
            <w:pPr>
              <w:pStyle w:val="ListParagraph"/>
              <w:numPr>
                <w:ilvl w:val="0"/>
                <w:numId w:val="33"/>
              </w:numPr>
              <w:ind w:left="601" w:hanging="241"/>
              <w:jc w:val="both"/>
              <w:rPr>
                <w:color w:val="FF0000"/>
              </w:rPr>
            </w:pPr>
            <w:r>
              <w:rPr>
                <w:color w:val="FF0000"/>
              </w:rPr>
              <w:t>proposed materials and intended building services</w:t>
            </w:r>
          </w:p>
          <w:p w:rsidR="00A12EBC" w:rsidRPr="00B067C6" w:rsidRDefault="00A12EBC" w:rsidP="00B067C6">
            <w:pPr>
              <w:pStyle w:val="ListParagraph"/>
              <w:numPr>
                <w:ilvl w:val="0"/>
                <w:numId w:val="33"/>
              </w:numPr>
              <w:ind w:left="601" w:hanging="241"/>
              <w:jc w:val="both"/>
              <w:rPr>
                <w:color w:val="FF0000"/>
              </w:rPr>
            </w:pPr>
            <w:r>
              <w:rPr>
                <w:color w:val="FF0000"/>
              </w:rPr>
              <w:t>the technical and functional characteristics of the design</w:t>
            </w:r>
          </w:p>
          <w:p w:rsidR="00A12EBC" w:rsidRPr="00B067C6" w:rsidRDefault="00A12EBC" w:rsidP="00B96C79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B067C6">
              <w:rPr>
                <w:color w:val="FF0000"/>
              </w:rPr>
              <w:t>Check for conformity of the concept with the rights to the use of the land</w:t>
            </w:r>
          </w:p>
          <w:p w:rsidR="00A12EBC" w:rsidRPr="00B067C6" w:rsidRDefault="00A12EBC" w:rsidP="00B96C79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B067C6">
              <w:rPr>
                <w:color w:val="FF0000"/>
              </w:rPr>
              <w:t>Review the anticipated costs of the project</w:t>
            </w:r>
          </w:p>
          <w:p w:rsidR="00A12EBC" w:rsidRPr="00B067C6" w:rsidRDefault="00A12EBC" w:rsidP="00B96C79">
            <w:pPr>
              <w:pStyle w:val="ListParagraph"/>
              <w:numPr>
                <w:ilvl w:val="0"/>
                <w:numId w:val="31"/>
              </w:numPr>
              <w:ind w:left="321" w:hanging="283"/>
            </w:pPr>
            <w:r w:rsidRPr="00B067C6">
              <w:rPr>
                <w:color w:val="FF0000"/>
              </w:rPr>
              <w:t>Review the project program</w:t>
            </w:r>
          </w:p>
          <w:p w:rsidR="00A12EBC" w:rsidRDefault="00A12EBC" w:rsidP="00B067C6">
            <w:pPr>
              <w:jc w:val="both"/>
              <w:rPr>
                <w:i/>
                <w:color w:val="FF0000"/>
              </w:rPr>
            </w:pPr>
            <w:r w:rsidRPr="00B067C6">
              <w:rPr>
                <w:b/>
                <w:color w:val="FF0000"/>
              </w:rPr>
              <w:t>Work Stage 3: Design Development</w:t>
            </w:r>
            <w:r w:rsidR="0034280D">
              <w:rPr>
                <w:b/>
                <w:color w:val="FF0000"/>
              </w:rPr>
              <w:t xml:space="preserve"> </w:t>
            </w:r>
            <w:r w:rsidR="0034280D">
              <w:rPr>
                <w:i/>
                <w:color w:val="FF0000"/>
              </w:rPr>
              <w:t>(</w:t>
            </w:r>
            <w:r w:rsidR="00894BD6">
              <w:rPr>
                <w:i/>
                <w:color w:val="FF0000"/>
              </w:rPr>
              <w:t>1 mark</w:t>
            </w:r>
            <w:r w:rsidR="0034280D">
              <w:rPr>
                <w:i/>
                <w:color w:val="FF0000"/>
              </w:rPr>
              <w:t>)</w:t>
            </w:r>
          </w:p>
          <w:p w:rsidR="00894BD6" w:rsidRPr="00894BD6" w:rsidRDefault="00894BD6" w:rsidP="00B067C6">
            <w:pPr>
              <w:jc w:val="both"/>
              <w:rPr>
                <w:i/>
                <w:color w:val="FF0000"/>
              </w:rPr>
            </w:pPr>
            <w:r w:rsidRPr="00894BD6">
              <w:rPr>
                <w:color w:val="FF0000"/>
              </w:rPr>
              <w:t>20% of total fee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>(1 mark)</w:t>
            </w:r>
          </w:p>
          <w:p w:rsidR="007B1773" w:rsidRPr="007B1773" w:rsidRDefault="007B1773" w:rsidP="007B1773">
            <w:pPr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(</w:t>
            </w:r>
            <w:r w:rsidR="00F46BC1">
              <w:rPr>
                <w:i/>
                <w:color w:val="FF0000"/>
              </w:rPr>
              <w:t>3</w:t>
            </w:r>
            <w:r>
              <w:rPr>
                <w:i/>
                <w:color w:val="FF0000"/>
              </w:rPr>
              <w:t xml:space="preserve"> marks for </w:t>
            </w:r>
            <w:r w:rsidR="00F46BC1">
              <w:rPr>
                <w:i/>
                <w:color w:val="FF0000"/>
              </w:rPr>
              <w:t>any</w:t>
            </w:r>
            <w:r>
              <w:rPr>
                <w:i/>
                <w:color w:val="FF0000"/>
              </w:rPr>
              <w:t xml:space="preserve"> of the following – total </w:t>
            </w:r>
            <w:r w:rsidR="00894BD6">
              <w:rPr>
                <w:i/>
                <w:color w:val="FF0000"/>
              </w:rPr>
              <w:t>6</w:t>
            </w:r>
            <w:r>
              <w:rPr>
                <w:i/>
                <w:color w:val="FF0000"/>
              </w:rPr>
              <w:t xml:space="preserve"> marks)</w:t>
            </w:r>
          </w:p>
          <w:p w:rsidR="00A12EBC" w:rsidRPr="00B067C6" w:rsidRDefault="00A12EBC" w:rsidP="00B96C79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B067C6">
              <w:rPr>
                <w:color w:val="FF0000"/>
              </w:rPr>
              <w:t>Confirm the scope and complexity</w:t>
            </w:r>
          </w:p>
          <w:p w:rsidR="00A12EBC" w:rsidRPr="00B067C6" w:rsidRDefault="00A12EBC" w:rsidP="00B96C79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B067C6">
              <w:rPr>
                <w:color w:val="FF0000"/>
              </w:rPr>
              <w:t>Review the design, and consult with local and statutory authorities</w:t>
            </w:r>
          </w:p>
          <w:p w:rsidR="00A12EBC" w:rsidRPr="00B067C6" w:rsidRDefault="00A12EBC" w:rsidP="00B96C79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B067C6">
              <w:rPr>
                <w:color w:val="FF0000"/>
              </w:rPr>
              <w:t>Develop the design, construction system, materials and component</w:t>
            </w:r>
          </w:p>
          <w:p w:rsidR="00A12EBC" w:rsidRPr="00B067C6" w:rsidRDefault="00A12EBC" w:rsidP="00B96C79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B067C6">
              <w:rPr>
                <w:color w:val="FF0000"/>
              </w:rPr>
              <w:t>Incorporate and coordinate all services and the work of consultants</w:t>
            </w:r>
          </w:p>
          <w:p w:rsidR="00A12EBC" w:rsidRDefault="00A12EBC" w:rsidP="00B96C79">
            <w:pPr>
              <w:pStyle w:val="ListParagraph"/>
              <w:numPr>
                <w:ilvl w:val="0"/>
                <w:numId w:val="31"/>
              </w:numPr>
              <w:ind w:left="321" w:hanging="283"/>
            </w:pPr>
            <w:r w:rsidRPr="00B067C6">
              <w:rPr>
                <w:color w:val="FF0000"/>
              </w:rPr>
              <w:t>Review the design, costing and program with the consultants</w:t>
            </w:r>
          </w:p>
        </w:tc>
        <w:tc>
          <w:tcPr>
            <w:tcW w:w="573" w:type="dxa"/>
            <w:vMerge/>
          </w:tcPr>
          <w:p w:rsidR="00A12EBC" w:rsidRDefault="00A12EBC" w:rsidP="00200908">
            <w:pPr>
              <w:contextualSpacing/>
              <w:jc w:val="center"/>
            </w:pPr>
          </w:p>
        </w:tc>
      </w:tr>
      <w:tr w:rsidR="00A12EBC" w:rsidTr="00007E87">
        <w:tc>
          <w:tcPr>
            <w:tcW w:w="9635" w:type="dxa"/>
            <w:gridSpan w:val="3"/>
          </w:tcPr>
          <w:p w:rsidR="00A12EBC" w:rsidRDefault="00A12EBC" w:rsidP="00200908">
            <w:pPr>
              <w:contextualSpacing/>
              <w:jc w:val="center"/>
            </w:pPr>
          </w:p>
        </w:tc>
      </w:tr>
      <w:tr w:rsidR="0034280D" w:rsidTr="00200908">
        <w:tc>
          <w:tcPr>
            <w:tcW w:w="704" w:type="dxa"/>
            <w:vMerge w:val="restart"/>
          </w:tcPr>
          <w:p w:rsidR="0034280D" w:rsidRDefault="00FF01B7" w:rsidP="00200908">
            <w:pPr>
              <w:contextualSpacing/>
            </w:pPr>
            <w:r>
              <w:t>3.3</w:t>
            </w:r>
          </w:p>
        </w:tc>
        <w:tc>
          <w:tcPr>
            <w:tcW w:w="8358" w:type="dxa"/>
          </w:tcPr>
          <w:p w:rsidR="0034280D" w:rsidRDefault="0034280D" w:rsidP="00475F39">
            <w:pPr>
              <w:contextualSpacing/>
              <w:jc w:val="both"/>
            </w:pPr>
            <w:r>
              <w:t xml:space="preserve">Identify </w:t>
            </w:r>
            <w:r w:rsidR="00475F39">
              <w:t>six</w:t>
            </w:r>
            <w:r>
              <w:t xml:space="preserve"> of the parameters on which the SACAP guideline fees and disbursements for architectural services are based.</w:t>
            </w:r>
          </w:p>
        </w:tc>
        <w:tc>
          <w:tcPr>
            <w:tcW w:w="573" w:type="dxa"/>
            <w:vMerge w:val="restart"/>
          </w:tcPr>
          <w:p w:rsidR="0034280D" w:rsidRDefault="0034280D" w:rsidP="00200908">
            <w:pPr>
              <w:contextualSpacing/>
              <w:jc w:val="center"/>
            </w:pPr>
            <w:r>
              <w:t>(</w:t>
            </w:r>
            <w:r w:rsidR="00475F39">
              <w:t>6</w:t>
            </w:r>
            <w:r>
              <w:t>)</w:t>
            </w:r>
          </w:p>
        </w:tc>
      </w:tr>
      <w:tr w:rsidR="0034280D" w:rsidTr="00200908">
        <w:tc>
          <w:tcPr>
            <w:tcW w:w="704" w:type="dxa"/>
            <w:vMerge/>
          </w:tcPr>
          <w:p w:rsidR="0034280D" w:rsidRDefault="0034280D" w:rsidP="00200908">
            <w:pPr>
              <w:contextualSpacing/>
            </w:pPr>
          </w:p>
        </w:tc>
        <w:tc>
          <w:tcPr>
            <w:tcW w:w="8358" w:type="dxa"/>
          </w:tcPr>
          <w:p w:rsidR="00B96C79" w:rsidRPr="00033B23" w:rsidRDefault="00B96C79" w:rsidP="00B96C79">
            <w:pPr>
              <w:contextualSpacing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Any of the following –</w:t>
            </w:r>
            <w:r w:rsidR="00894BD6">
              <w:rPr>
                <w:i/>
                <w:color w:val="FF0000"/>
              </w:rPr>
              <w:t xml:space="preserve"> 1</w:t>
            </w:r>
            <w:r>
              <w:rPr>
                <w:i/>
                <w:color w:val="FF0000"/>
              </w:rPr>
              <w:t xml:space="preserve"> marks for each</w:t>
            </w:r>
            <w:r w:rsidR="006F32B7">
              <w:rPr>
                <w:i/>
                <w:color w:val="FF0000"/>
              </w:rPr>
              <w:t xml:space="preserve"> (total 6 marks)</w:t>
            </w:r>
            <w:r>
              <w:rPr>
                <w:i/>
                <w:color w:val="FF0000"/>
              </w:rPr>
              <w:t>:</w:t>
            </w:r>
          </w:p>
          <w:p w:rsidR="0034280D" w:rsidRPr="0001711E" w:rsidRDefault="0034280D" w:rsidP="00B96C79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01711E">
              <w:rPr>
                <w:color w:val="FF0000"/>
              </w:rPr>
              <w:t>Scope of services</w:t>
            </w:r>
          </w:p>
          <w:p w:rsidR="0034280D" w:rsidRPr="0001711E" w:rsidRDefault="0034280D" w:rsidP="00B96C79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01711E">
              <w:rPr>
                <w:color w:val="FF0000"/>
              </w:rPr>
              <w:t>Scope of the project / works</w:t>
            </w:r>
          </w:p>
          <w:p w:rsidR="0034280D" w:rsidRPr="0001711E" w:rsidRDefault="0034280D" w:rsidP="00B96C79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01711E">
              <w:rPr>
                <w:color w:val="FF0000"/>
              </w:rPr>
              <w:t>Project program</w:t>
            </w:r>
          </w:p>
          <w:p w:rsidR="0034280D" w:rsidRPr="0001711E" w:rsidRDefault="0034280D" w:rsidP="00B96C79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01711E">
              <w:rPr>
                <w:color w:val="FF0000"/>
              </w:rPr>
              <w:t>Cost of the work</w:t>
            </w:r>
          </w:p>
          <w:p w:rsidR="0034280D" w:rsidRPr="0001711E" w:rsidRDefault="0034280D" w:rsidP="00B96C79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01711E">
              <w:rPr>
                <w:color w:val="FF0000"/>
              </w:rPr>
              <w:t>Cost of the project</w:t>
            </w:r>
          </w:p>
          <w:p w:rsidR="0034280D" w:rsidRPr="0001711E" w:rsidRDefault="0034280D" w:rsidP="00B96C79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01711E">
              <w:rPr>
                <w:color w:val="FF0000"/>
              </w:rPr>
              <w:t>Appointment of other consultants</w:t>
            </w:r>
          </w:p>
          <w:p w:rsidR="0034280D" w:rsidRDefault="0034280D" w:rsidP="00B96C79">
            <w:pPr>
              <w:pStyle w:val="ListParagraph"/>
              <w:numPr>
                <w:ilvl w:val="0"/>
                <w:numId w:val="31"/>
              </w:numPr>
              <w:ind w:left="321" w:hanging="283"/>
            </w:pPr>
            <w:r w:rsidRPr="0001711E">
              <w:rPr>
                <w:color w:val="FF0000"/>
              </w:rPr>
              <w:t>Appointment of contractor</w:t>
            </w:r>
          </w:p>
        </w:tc>
        <w:tc>
          <w:tcPr>
            <w:tcW w:w="573" w:type="dxa"/>
            <w:vMerge/>
          </w:tcPr>
          <w:p w:rsidR="0034280D" w:rsidRDefault="0034280D" w:rsidP="00200908">
            <w:pPr>
              <w:contextualSpacing/>
              <w:jc w:val="center"/>
            </w:pPr>
          </w:p>
        </w:tc>
      </w:tr>
      <w:tr w:rsidR="0034280D" w:rsidTr="008C61ED">
        <w:tc>
          <w:tcPr>
            <w:tcW w:w="9635" w:type="dxa"/>
            <w:gridSpan w:val="3"/>
          </w:tcPr>
          <w:p w:rsidR="0034280D" w:rsidRDefault="0034280D" w:rsidP="00200908">
            <w:pPr>
              <w:contextualSpacing/>
              <w:jc w:val="center"/>
            </w:pPr>
          </w:p>
        </w:tc>
      </w:tr>
      <w:tr w:rsidR="0034280D" w:rsidTr="00200908">
        <w:tc>
          <w:tcPr>
            <w:tcW w:w="704" w:type="dxa"/>
            <w:vMerge w:val="restart"/>
          </w:tcPr>
          <w:p w:rsidR="0034280D" w:rsidRDefault="00FF01B7" w:rsidP="00200908">
            <w:pPr>
              <w:contextualSpacing/>
            </w:pPr>
            <w:r>
              <w:t>3.4</w:t>
            </w:r>
          </w:p>
        </w:tc>
        <w:tc>
          <w:tcPr>
            <w:tcW w:w="8358" w:type="dxa"/>
          </w:tcPr>
          <w:p w:rsidR="0034280D" w:rsidRDefault="0034280D" w:rsidP="004D5764">
            <w:pPr>
              <w:contextualSpacing/>
              <w:jc w:val="both"/>
            </w:pPr>
            <w:r>
              <w:t>What should occur if any of the above parameters materially change?</w:t>
            </w:r>
          </w:p>
        </w:tc>
        <w:tc>
          <w:tcPr>
            <w:tcW w:w="573" w:type="dxa"/>
            <w:vMerge w:val="restart"/>
          </w:tcPr>
          <w:p w:rsidR="0034280D" w:rsidRDefault="00475F39" w:rsidP="00200908">
            <w:pPr>
              <w:contextualSpacing/>
              <w:jc w:val="center"/>
            </w:pPr>
            <w:r>
              <w:t>(4</w:t>
            </w:r>
            <w:r w:rsidR="003D17F5">
              <w:t>)</w:t>
            </w:r>
          </w:p>
        </w:tc>
      </w:tr>
      <w:tr w:rsidR="0034280D" w:rsidTr="00200908">
        <w:tc>
          <w:tcPr>
            <w:tcW w:w="704" w:type="dxa"/>
            <w:vMerge/>
          </w:tcPr>
          <w:p w:rsidR="0034280D" w:rsidRDefault="0034280D" w:rsidP="00200908">
            <w:pPr>
              <w:contextualSpacing/>
            </w:pPr>
          </w:p>
        </w:tc>
        <w:tc>
          <w:tcPr>
            <w:tcW w:w="8358" w:type="dxa"/>
          </w:tcPr>
          <w:p w:rsidR="0034280D" w:rsidRDefault="0034280D" w:rsidP="0034280D">
            <w:pPr>
              <w:contextualSpacing/>
              <w:jc w:val="both"/>
            </w:pPr>
            <w:r w:rsidRPr="0034280D">
              <w:rPr>
                <w:color w:val="FF0000"/>
              </w:rPr>
              <w:t xml:space="preserve">There must be an adjustment </w:t>
            </w:r>
            <w:r w:rsidR="00475F39">
              <w:rPr>
                <w:color w:val="FF0000"/>
                <w:vertAlign w:val="superscript"/>
              </w:rPr>
              <w:t>(2</w:t>
            </w:r>
            <w:r>
              <w:rPr>
                <w:color w:val="FF0000"/>
                <w:vertAlign w:val="superscript"/>
              </w:rPr>
              <w:t>)</w:t>
            </w:r>
            <w:r>
              <w:rPr>
                <w:color w:val="FF0000"/>
              </w:rPr>
              <w:t xml:space="preserve"> </w:t>
            </w:r>
            <w:r w:rsidRPr="0034280D">
              <w:rPr>
                <w:color w:val="FF0000"/>
              </w:rPr>
              <w:t xml:space="preserve">to the guideline fee </w:t>
            </w:r>
            <w:r w:rsidR="00475F39">
              <w:rPr>
                <w:color w:val="FF0000"/>
                <w:vertAlign w:val="superscript"/>
              </w:rPr>
              <w:t>(1</w:t>
            </w:r>
            <w:r>
              <w:rPr>
                <w:color w:val="FF0000"/>
                <w:vertAlign w:val="superscript"/>
              </w:rPr>
              <w:t>)</w:t>
            </w:r>
            <w:r>
              <w:rPr>
                <w:color w:val="FF0000"/>
              </w:rPr>
              <w:t xml:space="preserve"> </w:t>
            </w:r>
            <w:r w:rsidRPr="0034280D">
              <w:rPr>
                <w:color w:val="FF0000"/>
              </w:rPr>
              <w:t xml:space="preserve">and disbursements </w:t>
            </w:r>
            <w:r w:rsidR="00475F39">
              <w:rPr>
                <w:color w:val="FF0000"/>
                <w:vertAlign w:val="superscript"/>
              </w:rPr>
              <w:t>(1</w:t>
            </w:r>
            <w:r>
              <w:rPr>
                <w:color w:val="FF0000"/>
                <w:vertAlign w:val="superscript"/>
              </w:rPr>
              <w:t>)</w:t>
            </w:r>
            <w:r>
              <w:rPr>
                <w:color w:val="FF0000"/>
              </w:rPr>
              <w:t xml:space="preserve"> </w:t>
            </w:r>
            <w:r w:rsidRPr="0034280D">
              <w:rPr>
                <w:color w:val="FF0000"/>
              </w:rPr>
              <w:t>due.</w:t>
            </w:r>
          </w:p>
        </w:tc>
        <w:tc>
          <w:tcPr>
            <w:tcW w:w="573" w:type="dxa"/>
            <w:vMerge/>
          </w:tcPr>
          <w:p w:rsidR="0034280D" w:rsidRDefault="0034280D" w:rsidP="00200908">
            <w:pPr>
              <w:contextualSpacing/>
              <w:jc w:val="center"/>
            </w:pPr>
          </w:p>
        </w:tc>
      </w:tr>
      <w:tr w:rsidR="0034280D" w:rsidTr="003F2E24">
        <w:tc>
          <w:tcPr>
            <w:tcW w:w="9635" w:type="dxa"/>
            <w:gridSpan w:val="3"/>
          </w:tcPr>
          <w:p w:rsidR="0034280D" w:rsidRDefault="0034280D" w:rsidP="00200908">
            <w:pPr>
              <w:contextualSpacing/>
              <w:jc w:val="center"/>
            </w:pPr>
          </w:p>
        </w:tc>
      </w:tr>
      <w:tr w:rsidR="0034280D" w:rsidTr="00200908">
        <w:tc>
          <w:tcPr>
            <w:tcW w:w="704" w:type="dxa"/>
            <w:vMerge w:val="restart"/>
          </w:tcPr>
          <w:p w:rsidR="0034280D" w:rsidRDefault="00FF01B7" w:rsidP="00200908">
            <w:pPr>
              <w:contextualSpacing/>
            </w:pPr>
            <w:r>
              <w:t>3.5</w:t>
            </w:r>
          </w:p>
        </w:tc>
        <w:tc>
          <w:tcPr>
            <w:tcW w:w="8358" w:type="dxa"/>
          </w:tcPr>
          <w:p w:rsidR="0034280D" w:rsidRDefault="0034280D" w:rsidP="00A020CB">
            <w:pPr>
              <w:contextualSpacing/>
              <w:jc w:val="both"/>
            </w:pPr>
            <w:r>
              <w:t>Why does one indicate that fees would be due</w:t>
            </w:r>
            <w:r w:rsidR="00A020CB">
              <w:t xml:space="preserve"> for each work stage?</w:t>
            </w:r>
            <w:r>
              <w:t xml:space="preserve"> </w:t>
            </w:r>
            <w:r w:rsidR="00A020CB">
              <w:t>W</w:t>
            </w:r>
            <w:r>
              <w:t>hat would be the alternative?</w:t>
            </w:r>
          </w:p>
        </w:tc>
        <w:tc>
          <w:tcPr>
            <w:tcW w:w="573" w:type="dxa"/>
            <w:vMerge w:val="restart"/>
          </w:tcPr>
          <w:p w:rsidR="0034280D" w:rsidRDefault="0034280D" w:rsidP="00200908">
            <w:pPr>
              <w:contextualSpacing/>
              <w:jc w:val="center"/>
            </w:pPr>
            <w:r>
              <w:t>(</w:t>
            </w:r>
            <w:r w:rsidR="00894BD6">
              <w:t>4</w:t>
            </w:r>
            <w:r>
              <w:t>)</w:t>
            </w:r>
          </w:p>
        </w:tc>
      </w:tr>
      <w:tr w:rsidR="0034280D" w:rsidTr="00200908">
        <w:tc>
          <w:tcPr>
            <w:tcW w:w="704" w:type="dxa"/>
            <w:vMerge/>
          </w:tcPr>
          <w:p w:rsidR="0034280D" w:rsidRDefault="0034280D" w:rsidP="00200908">
            <w:pPr>
              <w:contextualSpacing/>
            </w:pPr>
          </w:p>
        </w:tc>
        <w:tc>
          <w:tcPr>
            <w:tcW w:w="8358" w:type="dxa"/>
          </w:tcPr>
          <w:p w:rsidR="0034280D" w:rsidRDefault="0034280D" w:rsidP="0034280D">
            <w:pPr>
              <w:contextualSpacing/>
              <w:jc w:val="both"/>
            </w:pPr>
            <w:r>
              <w:rPr>
                <w:color w:val="FF0000"/>
              </w:rPr>
              <w:t xml:space="preserve">This a requirement of the SACAP Code of Professional Conduct </w:t>
            </w:r>
            <w:r>
              <w:rPr>
                <w:color w:val="FF0000"/>
                <w:vertAlign w:val="superscript"/>
              </w:rPr>
              <w:t>(</w:t>
            </w:r>
            <w:r w:rsidR="00FF01B7">
              <w:rPr>
                <w:color w:val="FF0000"/>
                <w:vertAlign w:val="superscript"/>
              </w:rPr>
              <w:t>2</w:t>
            </w:r>
            <w:r>
              <w:rPr>
                <w:color w:val="FF0000"/>
                <w:vertAlign w:val="superscript"/>
              </w:rPr>
              <w:t>)</w:t>
            </w:r>
            <w:r>
              <w:rPr>
                <w:color w:val="FF0000"/>
              </w:rPr>
              <w:t>. A</w:t>
            </w:r>
            <w:r w:rsidRPr="00172094">
              <w:rPr>
                <w:color w:val="FF0000"/>
              </w:rPr>
              <w:t>lternatively one will only receive payment of fees once all the services for the entire project have been carried out (completed the mandate)</w:t>
            </w:r>
            <w:r>
              <w:rPr>
                <w:color w:val="FF0000"/>
              </w:rPr>
              <w:t xml:space="preserve">. </w:t>
            </w:r>
            <w:r w:rsidR="00A020CB">
              <w:rPr>
                <w:color w:val="FF0000"/>
                <w:vertAlign w:val="superscript"/>
              </w:rPr>
              <w:t>(2</w:t>
            </w:r>
            <w:r>
              <w:rPr>
                <w:color w:val="FF0000"/>
                <w:vertAlign w:val="superscript"/>
              </w:rPr>
              <w:t>)</w:t>
            </w:r>
          </w:p>
        </w:tc>
        <w:tc>
          <w:tcPr>
            <w:tcW w:w="573" w:type="dxa"/>
            <w:vMerge/>
          </w:tcPr>
          <w:p w:rsidR="0034280D" w:rsidRDefault="0034280D" w:rsidP="00200908">
            <w:pPr>
              <w:contextualSpacing/>
              <w:jc w:val="center"/>
            </w:pPr>
          </w:p>
        </w:tc>
      </w:tr>
      <w:tr w:rsidR="00FF01B7" w:rsidTr="00192950">
        <w:tc>
          <w:tcPr>
            <w:tcW w:w="9635" w:type="dxa"/>
            <w:gridSpan w:val="3"/>
          </w:tcPr>
          <w:p w:rsidR="00FF01B7" w:rsidRDefault="00FF01B7" w:rsidP="00200908">
            <w:pPr>
              <w:contextualSpacing/>
              <w:jc w:val="center"/>
            </w:pPr>
          </w:p>
        </w:tc>
      </w:tr>
      <w:tr w:rsidR="00377461" w:rsidTr="00200908">
        <w:tc>
          <w:tcPr>
            <w:tcW w:w="704" w:type="dxa"/>
            <w:vMerge w:val="restart"/>
          </w:tcPr>
          <w:p w:rsidR="00377461" w:rsidRDefault="00377461" w:rsidP="00200908">
            <w:pPr>
              <w:contextualSpacing/>
            </w:pPr>
            <w:r>
              <w:t>3.6</w:t>
            </w:r>
          </w:p>
        </w:tc>
        <w:tc>
          <w:tcPr>
            <w:tcW w:w="8358" w:type="dxa"/>
          </w:tcPr>
          <w:p w:rsidR="00377461" w:rsidRDefault="00377461" w:rsidP="0064306D">
            <w:pPr>
              <w:contextualSpacing/>
              <w:jc w:val="both"/>
            </w:pPr>
            <w:r>
              <w:t>In a project with a limited timeframe, what option may be considered in the provision of architectural services and what would be the impact of selecting such option?</w:t>
            </w:r>
          </w:p>
        </w:tc>
        <w:tc>
          <w:tcPr>
            <w:tcW w:w="573" w:type="dxa"/>
            <w:vMerge w:val="restart"/>
          </w:tcPr>
          <w:p w:rsidR="00377461" w:rsidRDefault="00894BD6" w:rsidP="00200908">
            <w:pPr>
              <w:contextualSpacing/>
              <w:jc w:val="center"/>
            </w:pPr>
            <w:r>
              <w:t>(4</w:t>
            </w:r>
            <w:r w:rsidR="00377461">
              <w:t>)</w:t>
            </w:r>
          </w:p>
        </w:tc>
      </w:tr>
      <w:tr w:rsidR="00377461" w:rsidTr="00200908">
        <w:tc>
          <w:tcPr>
            <w:tcW w:w="704" w:type="dxa"/>
            <w:vMerge/>
          </w:tcPr>
          <w:p w:rsidR="00377461" w:rsidRDefault="00377461" w:rsidP="00200908">
            <w:pPr>
              <w:contextualSpacing/>
            </w:pPr>
          </w:p>
        </w:tc>
        <w:tc>
          <w:tcPr>
            <w:tcW w:w="8358" w:type="dxa"/>
          </w:tcPr>
          <w:p w:rsidR="00377461" w:rsidRDefault="00377461" w:rsidP="004D5764">
            <w:pPr>
              <w:contextualSpacing/>
              <w:jc w:val="both"/>
            </w:pPr>
            <w:r w:rsidRPr="00377461">
              <w:rPr>
                <w:color w:val="FF0000"/>
              </w:rPr>
              <w:t xml:space="preserve">The option of 'fast tracking' </w:t>
            </w:r>
            <w:r>
              <w:rPr>
                <w:color w:val="FF0000"/>
                <w:vertAlign w:val="superscript"/>
              </w:rPr>
              <w:t>(2)</w:t>
            </w:r>
            <w:r>
              <w:rPr>
                <w:color w:val="FF0000"/>
              </w:rPr>
              <w:t xml:space="preserve"> </w:t>
            </w:r>
            <w:r w:rsidRPr="00377461">
              <w:rPr>
                <w:color w:val="FF0000"/>
              </w:rPr>
              <w:t>which would entail additional resources to complete the project within the allocated time and an increase of 30% of the architectural professional’s fee.</w:t>
            </w:r>
            <w:r>
              <w:rPr>
                <w:color w:val="FF0000"/>
              </w:rPr>
              <w:t xml:space="preserve"> </w:t>
            </w:r>
            <w:r w:rsidR="005E4975">
              <w:rPr>
                <w:color w:val="FF0000"/>
                <w:vertAlign w:val="superscript"/>
              </w:rPr>
              <w:t>(2</w:t>
            </w:r>
            <w:r>
              <w:rPr>
                <w:color w:val="FF0000"/>
                <w:vertAlign w:val="superscript"/>
              </w:rPr>
              <w:t>)</w:t>
            </w:r>
          </w:p>
        </w:tc>
        <w:tc>
          <w:tcPr>
            <w:tcW w:w="573" w:type="dxa"/>
            <w:vMerge/>
          </w:tcPr>
          <w:p w:rsidR="00377461" w:rsidRDefault="00377461" w:rsidP="00200908">
            <w:pPr>
              <w:contextualSpacing/>
              <w:jc w:val="center"/>
            </w:pPr>
          </w:p>
        </w:tc>
      </w:tr>
      <w:tr w:rsidR="00377461" w:rsidTr="004D3FB3">
        <w:tc>
          <w:tcPr>
            <w:tcW w:w="9635" w:type="dxa"/>
            <w:gridSpan w:val="3"/>
          </w:tcPr>
          <w:p w:rsidR="00377461" w:rsidRDefault="00377461" w:rsidP="00200908">
            <w:pPr>
              <w:contextualSpacing/>
              <w:jc w:val="center"/>
            </w:pPr>
          </w:p>
        </w:tc>
      </w:tr>
    </w:tbl>
    <w:p w:rsidR="009904A7" w:rsidRDefault="009904A7" w:rsidP="00415E9F">
      <w:pPr>
        <w:spacing w:after="0" w:line="240" w:lineRule="auto"/>
        <w:contextualSpacing/>
        <w:jc w:val="both"/>
      </w:pPr>
    </w:p>
    <w:p w:rsidR="003F151E" w:rsidRDefault="003F151E" w:rsidP="00415E9F">
      <w:pPr>
        <w:spacing w:after="0" w:line="240" w:lineRule="auto"/>
        <w:contextualSpacing/>
        <w:jc w:val="both"/>
      </w:pPr>
    </w:p>
    <w:p w:rsidR="00494F19" w:rsidRPr="008F2399" w:rsidRDefault="00494F19" w:rsidP="00494F19">
      <w:pPr>
        <w:pBdr>
          <w:bottom w:val="single" w:sz="8" w:space="1" w:color="7F7F7F" w:themeColor="text1" w:themeTint="80"/>
        </w:pBdr>
        <w:spacing w:after="0" w:line="240" w:lineRule="auto"/>
        <w:contextualSpacing/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</w:pP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>QUESTION 4</w:t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73C3C"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>30</w:t>
      </w:r>
      <w:r w:rsidRPr="000E439C"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 xml:space="preserve"> marks</w:t>
      </w:r>
    </w:p>
    <w:p w:rsidR="004B510C" w:rsidRDefault="004B510C" w:rsidP="00415E9F">
      <w:pPr>
        <w:spacing w:after="0" w:line="240" w:lineRule="auto"/>
        <w:contextualSpacing/>
        <w:jc w:val="both"/>
      </w:pPr>
    </w:p>
    <w:tbl>
      <w:tblPr>
        <w:tblStyle w:val="TableGrid"/>
        <w:tblW w:w="9645" w:type="dxa"/>
        <w:tblInd w:w="-10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6"/>
        <w:gridCol w:w="425"/>
        <w:gridCol w:w="7941"/>
        <w:gridCol w:w="573"/>
      </w:tblGrid>
      <w:tr w:rsidR="00FA4DBB" w:rsidTr="00152012">
        <w:tc>
          <w:tcPr>
            <w:tcW w:w="706" w:type="dxa"/>
            <w:vMerge w:val="restart"/>
          </w:tcPr>
          <w:p w:rsidR="00FA4DBB" w:rsidRDefault="00FA4DBB" w:rsidP="0039454E">
            <w:pPr>
              <w:contextualSpacing/>
            </w:pPr>
            <w:r>
              <w:t>4.1</w:t>
            </w:r>
          </w:p>
        </w:tc>
        <w:tc>
          <w:tcPr>
            <w:tcW w:w="8366" w:type="dxa"/>
            <w:gridSpan w:val="2"/>
            <w:vAlign w:val="center"/>
          </w:tcPr>
          <w:p w:rsidR="00FA4DBB" w:rsidRDefault="00FA4DBB" w:rsidP="007B14FF">
            <w:pPr>
              <w:contextualSpacing/>
              <w:jc w:val="both"/>
            </w:pPr>
            <w:r>
              <w:t>Identify four advantages of entering into a standard form of Professional Service Agreement with a client.</w:t>
            </w:r>
          </w:p>
        </w:tc>
        <w:tc>
          <w:tcPr>
            <w:tcW w:w="573" w:type="dxa"/>
            <w:vMerge w:val="restart"/>
          </w:tcPr>
          <w:p w:rsidR="00FA4DBB" w:rsidRDefault="00152012" w:rsidP="0039454E">
            <w:pPr>
              <w:contextualSpacing/>
              <w:jc w:val="center"/>
            </w:pPr>
            <w:r>
              <w:t>(8</w:t>
            </w:r>
            <w:r w:rsidR="00FA4DBB">
              <w:t>)</w:t>
            </w:r>
          </w:p>
        </w:tc>
      </w:tr>
      <w:tr w:rsidR="00FA4DBB" w:rsidTr="00152012">
        <w:tc>
          <w:tcPr>
            <w:tcW w:w="706" w:type="dxa"/>
            <w:vMerge/>
          </w:tcPr>
          <w:p w:rsidR="00FA4DBB" w:rsidRDefault="00FA4DBB" w:rsidP="0039454E">
            <w:pPr>
              <w:contextualSpacing/>
            </w:pPr>
          </w:p>
        </w:tc>
        <w:tc>
          <w:tcPr>
            <w:tcW w:w="8366" w:type="dxa"/>
            <w:gridSpan w:val="2"/>
            <w:vAlign w:val="center"/>
          </w:tcPr>
          <w:p w:rsidR="00FA4DBB" w:rsidRPr="00685275" w:rsidRDefault="00152012" w:rsidP="007B14FF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2</w:t>
            </w:r>
            <w:r w:rsidR="00FA4DBB">
              <w:rPr>
                <w:i/>
                <w:color w:val="FF0000"/>
              </w:rPr>
              <w:t xml:space="preserve"> marks for any of the following or in a similar vein </w:t>
            </w:r>
            <w:r>
              <w:rPr>
                <w:i/>
                <w:color w:val="FF0000"/>
              </w:rPr>
              <w:t>(total 8</w:t>
            </w:r>
            <w:r w:rsidR="00FA4DBB">
              <w:rPr>
                <w:i/>
                <w:color w:val="FF0000"/>
              </w:rPr>
              <w:t xml:space="preserve"> marks)</w:t>
            </w:r>
            <w:r w:rsidR="006F32B7">
              <w:rPr>
                <w:i/>
                <w:color w:val="FF0000"/>
              </w:rPr>
              <w:t>:</w:t>
            </w:r>
          </w:p>
          <w:p w:rsidR="00FA4DBB" w:rsidRPr="00041560" w:rsidRDefault="00FA4DBB" w:rsidP="007B14FF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041560">
              <w:rPr>
                <w:color w:val="FF0000"/>
              </w:rPr>
              <w:t>Allows the architectural professional to be confident of the business arrangement with the client</w:t>
            </w:r>
            <w:r>
              <w:rPr>
                <w:color w:val="FF0000"/>
              </w:rPr>
              <w:t>.</w:t>
            </w:r>
          </w:p>
          <w:p w:rsidR="00FA4DBB" w:rsidRPr="00041560" w:rsidRDefault="00FA4DBB" w:rsidP="007B14FF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>
              <w:rPr>
                <w:color w:val="FF0000"/>
              </w:rPr>
              <w:t>A</w:t>
            </w:r>
            <w:r w:rsidRPr="00041560">
              <w:rPr>
                <w:color w:val="FF0000"/>
              </w:rPr>
              <w:t xml:space="preserve">ddresses the obligations and responsibilities of the client and </w:t>
            </w:r>
            <w:r>
              <w:rPr>
                <w:color w:val="FF0000"/>
              </w:rPr>
              <w:t>the architectural professional.</w:t>
            </w:r>
          </w:p>
          <w:p w:rsidR="00FA4DBB" w:rsidRPr="00041560" w:rsidRDefault="00FA4DBB" w:rsidP="007B14FF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>
              <w:rPr>
                <w:color w:val="FF0000"/>
              </w:rPr>
              <w:t>S</w:t>
            </w:r>
            <w:r w:rsidRPr="00041560">
              <w:rPr>
                <w:color w:val="FF0000"/>
              </w:rPr>
              <w:t>ets clear limits to responsibility and liability</w:t>
            </w:r>
            <w:r>
              <w:rPr>
                <w:color w:val="FF0000"/>
              </w:rPr>
              <w:t>.</w:t>
            </w:r>
          </w:p>
          <w:p w:rsidR="00FA4DBB" w:rsidRDefault="00FA4DBB" w:rsidP="007B14FF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>
              <w:rPr>
                <w:color w:val="FF0000"/>
              </w:rPr>
              <w:t>A</w:t>
            </w:r>
            <w:r w:rsidRPr="00041560">
              <w:rPr>
                <w:color w:val="FF0000"/>
              </w:rPr>
              <w:t>llows for effective dispute resolution</w:t>
            </w:r>
            <w:r>
              <w:rPr>
                <w:color w:val="FF0000"/>
              </w:rPr>
              <w:t>.</w:t>
            </w:r>
          </w:p>
          <w:p w:rsidR="00FA4DBB" w:rsidRDefault="00FA4DBB" w:rsidP="00FA4DBB">
            <w:pPr>
              <w:pStyle w:val="ListParagraph"/>
              <w:numPr>
                <w:ilvl w:val="0"/>
                <w:numId w:val="31"/>
              </w:numPr>
              <w:ind w:left="321" w:hanging="283"/>
            </w:pPr>
            <w:r>
              <w:rPr>
                <w:color w:val="FF0000"/>
              </w:rPr>
              <w:t>It is a consensus document drafted and agreed by the constituent bodies.</w:t>
            </w:r>
          </w:p>
        </w:tc>
        <w:tc>
          <w:tcPr>
            <w:tcW w:w="573" w:type="dxa"/>
            <w:vMerge/>
          </w:tcPr>
          <w:p w:rsidR="00FA4DBB" w:rsidRDefault="00FA4DBB" w:rsidP="0039454E">
            <w:pPr>
              <w:contextualSpacing/>
              <w:jc w:val="center"/>
            </w:pPr>
          </w:p>
        </w:tc>
      </w:tr>
      <w:tr w:rsidR="00FA4DBB" w:rsidTr="00152012">
        <w:tc>
          <w:tcPr>
            <w:tcW w:w="9645" w:type="dxa"/>
            <w:gridSpan w:val="4"/>
          </w:tcPr>
          <w:p w:rsidR="00FA4DBB" w:rsidRDefault="00FA4DBB" w:rsidP="0039454E">
            <w:pPr>
              <w:contextualSpacing/>
              <w:jc w:val="center"/>
            </w:pPr>
          </w:p>
        </w:tc>
      </w:tr>
      <w:tr w:rsidR="00FA4DBB" w:rsidTr="00152012">
        <w:tc>
          <w:tcPr>
            <w:tcW w:w="706" w:type="dxa"/>
            <w:vMerge w:val="restart"/>
          </w:tcPr>
          <w:p w:rsidR="00FA4DBB" w:rsidRDefault="00FA4DBB" w:rsidP="0039454E">
            <w:pPr>
              <w:contextualSpacing/>
            </w:pPr>
            <w:r>
              <w:t>4.2</w:t>
            </w:r>
          </w:p>
        </w:tc>
        <w:tc>
          <w:tcPr>
            <w:tcW w:w="8366" w:type="dxa"/>
            <w:gridSpan w:val="2"/>
            <w:vAlign w:val="center"/>
          </w:tcPr>
          <w:p w:rsidR="00FA4DBB" w:rsidRDefault="001B730A" w:rsidP="0039454E">
            <w:pPr>
              <w:contextualSpacing/>
              <w:jc w:val="both"/>
            </w:pPr>
            <w:r>
              <w:t>Identify</w:t>
            </w:r>
            <w:r w:rsidR="005B2BDA">
              <w:t xml:space="preserve"> five</w:t>
            </w:r>
            <w:r w:rsidR="00FA4DBB">
              <w:t xml:space="preserve"> risks inherent in agreeing to provide architectural services on a project at risk</w:t>
            </w:r>
            <w:r w:rsidR="00152012">
              <w:t>.</w:t>
            </w:r>
          </w:p>
        </w:tc>
        <w:tc>
          <w:tcPr>
            <w:tcW w:w="573" w:type="dxa"/>
            <w:vMerge w:val="restart"/>
          </w:tcPr>
          <w:p w:rsidR="00FA4DBB" w:rsidRDefault="005B2BDA" w:rsidP="0039454E">
            <w:pPr>
              <w:contextualSpacing/>
              <w:jc w:val="center"/>
            </w:pPr>
            <w:r>
              <w:t>(10</w:t>
            </w:r>
            <w:r w:rsidR="00FA4DBB">
              <w:t>)</w:t>
            </w:r>
          </w:p>
        </w:tc>
      </w:tr>
      <w:tr w:rsidR="00FA4DBB" w:rsidTr="00152012">
        <w:tc>
          <w:tcPr>
            <w:tcW w:w="706" w:type="dxa"/>
            <w:vMerge/>
          </w:tcPr>
          <w:p w:rsidR="00FA4DBB" w:rsidRDefault="00FA4DBB" w:rsidP="0039454E">
            <w:pPr>
              <w:contextualSpacing/>
            </w:pPr>
          </w:p>
        </w:tc>
        <w:tc>
          <w:tcPr>
            <w:tcW w:w="8366" w:type="dxa"/>
            <w:gridSpan w:val="2"/>
            <w:vAlign w:val="center"/>
          </w:tcPr>
          <w:p w:rsidR="00FA4DBB" w:rsidRPr="00685275" w:rsidRDefault="005B2BDA" w:rsidP="00FA4DBB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2</w:t>
            </w:r>
            <w:r w:rsidR="00FA4DBB">
              <w:rPr>
                <w:i/>
                <w:color w:val="FF0000"/>
              </w:rPr>
              <w:t xml:space="preserve"> marks for any of the following or in a similar vein (total 12 marks)</w:t>
            </w:r>
            <w:r w:rsidR="006F32B7">
              <w:rPr>
                <w:i/>
                <w:color w:val="FF0000"/>
              </w:rPr>
              <w:t>:</w:t>
            </w:r>
          </w:p>
          <w:p w:rsidR="00FA4DBB" w:rsidRPr="00FA4DBB" w:rsidRDefault="00FA4DBB" w:rsidP="00FA4DBB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FA4DBB">
              <w:rPr>
                <w:color w:val="FF0000"/>
              </w:rPr>
              <w:t>Possibility for not being paid for the work carried out</w:t>
            </w:r>
          </w:p>
          <w:p w:rsidR="00FA4DBB" w:rsidRPr="00FA4DBB" w:rsidRDefault="00FA4DBB" w:rsidP="00FA4DBB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FA4DBB">
              <w:rPr>
                <w:color w:val="FF0000"/>
              </w:rPr>
              <w:t>Possibility of not being appointed if and when the project proceeds</w:t>
            </w:r>
          </w:p>
          <w:p w:rsidR="00FA4DBB" w:rsidRPr="00FA4DBB" w:rsidRDefault="00FA4DBB" w:rsidP="00FA4DBB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FA4DBB">
              <w:rPr>
                <w:color w:val="FF0000"/>
              </w:rPr>
              <w:t>Possibility of Professional Indemnity (PI) insurance refuting claims arising or increased insurance premiums</w:t>
            </w:r>
          </w:p>
          <w:p w:rsidR="00FA4DBB" w:rsidRPr="00FA4DBB" w:rsidRDefault="00FA4DBB" w:rsidP="00FA4DBB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FA4DBB">
              <w:rPr>
                <w:color w:val="FF0000"/>
              </w:rPr>
              <w:t>SACAP fee scales do not allow for compensation for works carried out at risk</w:t>
            </w:r>
          </w:p>
          <w:p w:rsidR="00FA4DBB" w:rsidRPr="00FA4DBB" w:rsidRDefault="00FA4DBB" w:rsidP="00FA4DBB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FA4DBB">
              <w:rPr>
                <w:color w:val="FF0000"/>
              </w:rPr>
              <w:t>Liabilities to the client that may arise from inadequate work or omissions</w:t>
            </w:r>
          </w:p>
          <w:p w:rsidR="00FA4DBB" w:rsidRPr="00FA4DBB" w:rsidRDefault="00FA4DBB" w:rsidP="00FA4DBB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FA4DBB">
              <w:rPr>
                <w:color w:val="FF0000"/>
              </w:rPr>
              <w:t>Records and history indicate low success rate arising from work done at risk</w:t>
            </w:r>
          </w:p>
          <w:p w:rsidR="00FA4DBB" w:rsidRDefault="00FA4DBB" w:rsidP="00FA4DBB">
            <w:pPr>
              <w:pStyle w:val="ListParagraph"/>
              <w:numPr>
                <w:ilvl w:val="0"/>
                <w:numId w:val="31"/>
              </w:numPr>
              <w:ind w:left="321" w:hanging="283"/>
            </w:pPr>
            <w:r w:rsidRPr="00FA4DBB">
              <w:rPr>
                <w:color w:val="FF0000"/>
              </w:rPr>
              <w:t>Possibility of allocating too much time and effort on risk work and diminished ability to attend to current clients or projects</w:t>
            </w:r>
          </w:p>
        </w:tc>
        <w:tc>
          <w:tcPr>
            <w:tcW w:w="573" w:type="dxa"/>
            <w:vMerge/>
          </w:tcPr>
          <w:p w:rsidR="00FA4DBB" w:rsidRDefault="00FA4DBB" w:rsidP="0039454E">
            <w:pPr>
              <w:contextualSpacing/>
              <w:jc w:val="center"/>
            </w:pPr>
          </w:p>
        </w:tc>
      </w:tr>
      <w:tr w:rsidR="00152012" w:rsidTr="00152012">
        <w:tc>
          <w:tcPr>
            <w:tcW w:w="9645" w:type="dxa"/>
            <w:gridSpan w:val="4"/>
          </w:tcPr>
          <w:p w:rsidR="00152012" w:rsidRDefault="00152012" w:rsidP="0039454E">
            <w:pPr>
              <w:contextualSpacing/>
              <w:jc w:val="center"/>
            </w:pPr>
          </w:p>
        </w:tc>
      </w:tr>
      <w:tr w:rsidR="002D2D29" w:rsidTr="0015201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706" w:type="dxa"/>
            <w:vMerge w:val="restart"/>
          </w:tcPr>
          <w:p w:rsidR="002D2D29" w:rsidRDefault="005B2BDA" w:rsidP="001B1F14">
            <w:pPr>
              <w:contextualSpacing/>
            </w:pPr>
            <w:r>
              <w:t>4.3</w:t>
            </w:r>
          </w:p>
        </w:tc>
        <w:tc>
          <w:tcPr>
            <w:tcW w:w="8939" w:type="dxa"/>
            <w:gridSpan w:val="3"/>
            <w:vAlign w:val="center"/>
          </w:tcPr>
          <w:p w:rsidR="002D2D29" w:rsidRDefault="005B2BDA" w:rsidP="001B1F14">
            <w:pPr>
              <w:contextualSpacing/>
              <w:jc w:val="both"/>
            </w:pPr>
            <w:r>
              <w:t>Indicate whether the</w:t>
            </w:r>
            <w:r w:rsidR="002D2D29">
              <w:t xml:space="preserve"> following statements regarding the services of an architectural professional are correct</w:t>
            </w:r>
            <w:r>
              <w:t xml:space="preserve"> or incorrect</w:t>
            </w:r>
            <w:r w:rsidR="002D2D29">
              <w:t>. Provide a motivation for each.</w:t>
            </w:r>
          </w:p>
        </w:tc>
      </w:tr>
      <w:tr w:rsidR="002D2D29" w:rsidTr="0015201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706" w:type="dxa"/>
            <w:vMerge/>
          </w:tcPr>
          <w:p w:rsidR="002D2D29" w:rsidRDefault="002D2D29" w:rsidP="001B1F14">
            <w:pPr>
              <w:contextualSpacing/>
            </w:pPr>
          </w:p>
        </w:tc>
        <w:tc>
          <w:tcPr>
            <w:tcW w:w="8939" w:type="dxa"/>
            <w:gridSpan w:val="3"/>
          </w:tcPr>
          <w:p w:rsidR="002D2D29" w:rsidRDefault="002D2D29" w:rsidP="001B1F14">
            <w:pPr>
              <w:contextualSpacing/>
              <w:jc w:val="center"/>
            </w:pPr>
          </w:p>
        </w:tc>
      </w:tr>
      <w:tr w:rsidR="002D2D29" w:rsidTr="0015201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706" w:type="dxa"/>
            <w:vMerge/>
          </w:tcPr>
          <w:p w:rsidR="002D2D29" w:rsidRDefault="002D2D29" w:rsidP="001B1F14">
            <w:pPr>
              <w:contextualSpacing/>
            </w:pPr>
          </w:p>
        </w:tc>
        <w:tc>
          <w:tcPr>
            <w:tcW w:w="425" w:type="dxa"/>
            <w:vMerge w:val="restart"/>
          </w:tcPr>
          <w:p w:rsidR="002D2D29" w:rsidRDefault="002D2D29" w:rsidP="001B1F14">
            <w:pPr>
              <w:contextualSpacing/>
              <w:jc w:val="center"/>
            </w:pPr>
            <w:r>
              <w:t>1.</w:t>
            </w:r>
          </w:p>
        </w:tc>
        <w:tc>
          <w:tcPr>
            <w:tcW w:w="7941" w:type="dxa"/>
            <w:vAlign w:val="center"/>
          </w:tcPr>
          <w:p w:rsidR="002D2D29" w:rsidRDefault="002D2D29" w:rsidP="002D2D29">
            <w:pPr>
              <w:contextualSpacing/>
              <w:jc w:val="both"/>
            </w:pPr>
            <w:r>
              <w:t>Professional Indemnity insurance must be provided by the architectural professional.</w:t>
            </w:r>
          </w:p>
        </w:tc>
        <w:tc>
          <w:tcPr>
            <w:tcW w:w="573" w:type="dxa"/>
            <w:vMerge w:val="restart"/>
          </w:tcPr>
          <w:p w:rsidR="002D2D29" w:rsidRDefault="002D2D29" w:rsidP="001B1F14">
            <w:pPr>
              <w:contextualSpacing/>
              <w:jc w:val="center"/>
            </w:pPr>
            <w:r>
              <w:t>(3)</w:t>
            </w:r>
          </w:p>
        </w:tc>
      </w:tr>
      <w:tr w:rsidR="002D2D29" w:rsidTr="0015201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706" w:type="dxa"/>
            <w:vMerge/>
          </w:tcPr>
          <w:p w:rsidR="002D2D29" w:rsidRDefault="002D2D29" w:rsidP="001B1F14">
            <w:pPr>
              <w:contextualSpacing/>
            </w:pPr>
          </w:p>
        </w:tc>
        <w:tc>
          <w:tcPr>
            <w:tcW w:w="425" w:type="dxa"/>
            <w:vMerge/>
          </w:tcPr>
          <w:p w:rsidR="002D2D29" w:rsidRDefault="002D2D29" w:rsidP="001B1F14">
            <w:pPr>
              <w:contextualSpacing/>
              <w:jc w:val="center"/>
            </w:pPr>
          </w:p>
        </w:tc>
        <w:tc>
          <w:tcPr>
            <w:tcW w:w="7941" w:type="dxa"/>
            <w:vAlign w:val="center"/>
          </w:tcPr>
          <w:p w:rsidR="002D2D29" w:rsidRDefault="002D2D29" w:rsidP="00152012">
            <w:pPr>
              <w:contextualSpacing/>
              <w:jc w:val="both"/>
            </w:pPr>
            <w:r w:rsidRPr="00244DC7">
              <w:rPr>
                <w:b/>
                <w:color w:val="FF0000"/>
              </w:rPr>
              <w:t>INCORRECT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vertAlign w:val="superscript"/>
              </w:rPr>
              <w:t>(1)</w:t>
            </w:r>
            <w:r w:rsidRPr="00AC2AEE">
              <w:rPr>
                <w:color w:val="FF0000"/>
              </w:rPr>
              <w:t xml:space="preserve"> –</w:t>
            </w:r>
            <w:r>
              <w:t xml:space="preserve"> </w:t>
            </w:r>
            <w:r w:rsidRPr="00152012">
              <w:rPr>
                <w:color w:val="FF0000"/>
              </w:rPr>
              <w:t>provided the architectural professional informs the client that no PI insurance is in place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vertAlign w:val="superscript"/>
              </w:rPr>
              <w:t>(2)</w:t>
            </w:r>
            <w:r>
              <w:rPr>
                <w:color w:val="FF0000"/>
              </w:rPr>
              <w:t>.</w:t>
            </w:r>
          </w:p>
        </w:tc>
        <w:tc>
          <w:tcPr>
            <w:tcW w:w="573" w:type="dxa"/>
            <w:vMerge/>
          </w:tcPr>
          <w:p w:rsidR="002D2D29" w:rsidRDefault="002D2D29" w:rsidP="001B1F14">
            <w:pPr>
              <w:contextualSpacing/>
              <w:jc w:val="center"/>
            </w:pPr>
          </w:p>
        </w:tc>
      </w:tr>
      <w:tr w:rsidR="002D2D29" w:rsidTr="0015201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706" w:type="dxa"/>
            <w:vMerge/>
          </w:tcPr>
          <w:p w:rsidR="002D2D29" w:rsidRDefault="002D2D29" w:rsidP="001B1F14">
            <w:pPr>
              <w:contextualSpacing/>
            </w:pPr>
          </w:p>
        </w:tc>
        <w:tc>
          <w:tcPr>
            <w:tcW w:w="8939" w:type="dxa"/>
            <w:gridSpan w:val="3"/>
          </w:tcPr>
          <w:p w:rsidR="002D2D29" w:rsidRDefault="002D2D29" w:rsidP="001B1F14">
            <w:pPr>
              <w:contextualSpacing/>
              <w:jc w:val="center"/>
            </w:pPr>
          </w:p>
        </w:tc>
      </w:tr>
      <w:tr w:rsidR="002D2D29" w:rsidTr="0015201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706" w:type="dxa"/>
            <w:vMerge/>
          </w:tcPr>
          <w:p w:rsidR="002D2D29" w:rsidRDefault="002D2D29" w:rsidP="001B1F14">
            <w:pPr>
              <w:contextualSpacing/>
            </w:pPr>
          </w:p>
        </w:tc>
        <w:tc>
          <w:tcPr>
            <w:tcW w:w="425" w:type="dxa"/>
            <w:vMerge w:val="restart"/>
          </w:tcPr>
          <w:p w:rsidR="002D2D29" w:rsidRDefault="002D2D29" w:rsidP="001B1F14">
            <w:pPr>
              <w:contextualSpacing/>
              <w:jc w:val="center"/>
            </w:pPr>
            <w:r>
              <w:t>2.</w:t>
            </w:r>
          </w:p>
        </w:tc>
        <w:tc>
          <w:tcPr>
            <w:tcW w:w="7941" w:type="dxa"/>
            <w:vAlign w:val="center"/>
          </w:tcPr>
          <w:p w:rsidR="002D2D29" w:rsidRDefault="002D2D29" w:rsidP="002D2D29">
            <w:pPr>
              <w:contextualSpacing/>
              <w:jc w:val="both"/>
            </w:pPr>
            <w:r>
              <w:t>The architectural professional will manage the contractor during construction.</w:t>
            </w:r>
          </w:p>
        </w:tc>
        <w:tc>
          <w:tcPr>
            <w:tcW w:w="573" w:type="dxa"/>
            <w:vMerge w:val="restart"/>
          </w:tcPr>
          <w:p w:rsidR="002D2D29" w:rsidRDefault="002D2D29" w:rsidP="001B1F14">
            <w:pPr>
              <w:contextualSpacing/>
              <w:jc w:val="center"/>
            </w:pPr>
            <w:r>
              <w:t>(3)</w:t>
            </w:r>
          </w:p>
        </w:tc>
      </w:tr>
      <w:tr w:rsidR="002D2D29" w:rsidTr="0015201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706" w:type="dxa"/>
            <w:vMerge/>
          </w:tcPr>
          <w:p w:rsidR="002D2D29" w:rsidRDefault="002D2D29" w:rsidP="001B1F14">
            <w:pPr>
              <w:contextualSpacing/>
            </w:pPr>
          </w:p>
        </w:tc>
        <w:tc>
          <w:tcPr>
            <w:tcW w:w="425" w:type="dxa"/>
            <w:vMerge/>
          </w:tcPr>
          <w:p w:rsidR="002D2D29" w:rsidRDefault="002D2D29" w:rsidP="001B1F14">
            <w:pPr>
              <w:contextualSpacing/>
              <w:jc w:val="center"/>
            </w:pPr>
          </w:p>
        </w:tc>
        <w:tc>
          <w:tcPr>
            <w:tcW w:w="7941" w:type="dxa"/>
            <w:vAlign w:val="center"/>
          </w:tcPr>
          <w:p w:rsidR="002D2D29" w:rsidRDefault="005B2BDA" w:rsidP="00152012">
            <w:pPr>
              <w:contextualSpacing/>
              <w:jc w:val="both"/>
            </w:pPr>
            <w:r w:rsidRPr="00244DC7">
              <w:rPr>
                <w:b/>
                <w:color w:val="FF0000"/>
              </w:rPr>
              <w:t>INCORRECT</w:t>
            </w:r>
            <w:r w:rsidR="002D2D29" w:rsidRPr="00AC2AEE">
              <w:rPr>
                <w:color w:val="FF0000"/>
              </w:rPr>
              <w:t xml:space="preserve"> </w:t>
            </w:r>
            <w:r w:rsidR="002D2D29">
              <w:rPr>
                <w:color w:val="FF0000"/>
                <w:vertAlign w:val="superscript"/>
              </w:rPr>
              <w:t>(1)</w:t>
            </w:r>
            <w:r w:rsidR="002D2D29">
              <w:rPr>
                <w:color w:val="FF0000"/>
              </w:rPr>
              <w:t xml:space="preserve"> </w:t>
            </w:r>
            <w:r w:rsidR="002D2D29" w:rsidRPr="00AC2AEE">
              <w:rPr>
                <w:color w:val="FF0000"/>
              </w:rPr>
              <w:t xml:space="preserve">– </w:t>
            </w:r>
            <w:r w:rsidR="002D2D29">
              <w:rPr>
                <w:color w:val="FF0000"/>
              </w:rPr>
              <w:t xml:space="preserve">the requirement of the architectural professional as principal agent is to </w:t>
            </w:r>
            <w:r w:rsidR="002D2D29" w:rsidRPr="00152012">
              <w:rPr>
                <w:color w:val="FF0000"/>
                <w:u w:val="single"/>
              </w:rPr>
              <w:t>administer</w:t>
            </w:r>
            <w:r w:rsidR="002D2D29">
              <w:rPr>
                <w:color w:val="FF0000"/>
              </w:rPr>
              <w:t xml:space="preserve"> the construction contract, not to manage the contractor </w:t>
            </w:r>
            <w:r w:rsidR="002D2D29">
              <w:rPr>
                <w:color w:val="FF0000"/>
                <w:vertAlign w:val="superscript"/>
              </w:rPr>
              <w:t>(2)</w:t>
            </w:r>
            <w:r w:rsidR="002D2D29">
              <w:rPr>
                <w:color w:val="FF0000"/>
              </w:rPr>
              <w:t>.</w:t>
            </w:r>
          </w:p>
        </w:tc>
        <w:tc>
          <w:tcPr>
            <w:tcW w:w="573" w:type="dxa"/>
            <w:vMerge/>
          </w:tcPr>
          <w:p w:rsidR="002D2D29" w:rsidRDefault="002D2D29" w:rsidP="001B1F14">
            <w:pPr>
              <w:contextualSpacing/>
              <w:jc w:val="center"/>
            </w:pPr>
          </w:p>
        </w:tc>
      </w:tr>
      <w:tr w:rsidR="002D2D29" w:rsidTr="0015201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706" w:type="dxa"/>
            <w:vMerge/>
          </w:tcPr>
          <w:p w:rsidR="002D2D29" w:rsidRDefault="002D2D29" w:rsidP="001B1F14">
            <w:pPr>
              <w:contextualSpacing/>
            </w:pPr>
          </w:p>
        </w:tc>
        <w:tc>
          <w:tcPr>
            <w:tcW w:w="8939" w:type="dxa"/>
            <w:gridSpan w:val="3"/>
          </w:tcPr>
          <w:p w:rsidR="002D2D29" w:rsidRDefault="002D2D29" w:rsidP="001B1F14">
            <w:pPr>
              <w:contextualSpacing/>
              <w:jc w:val="center"/>
            </w:pPr>
          </w:p>
        </w:tc>
      </w:tr>
      <w:tr w:rsidR="002D2D29" w:rsidTr="0015201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706" w:type="dxa"/>
            <w:vMerge/>
          </w:tcPr>
          <w:p w:rsidR="002D2D29" w:rsidRDefault="002D2D29" w:rsidP="001B1F14">
            <w:pPr>
              <w:contextualSpacing/>
            </w:pPr>
          </w:p>
        </w:tc>
        <w:tc>
          <w:tcPr>
            <w:tcW w:w="425" w:type="dxa"/>
            <w:vMerge w:val="restart"/>
          </w:tcPr>
          <w:p w:rsidR="002D2D29" w:rsidRDefault="002D2D29" w:rsidP="001B1F14">
            <w:pPr>
              <w:contextualSpacing/>
              <w:jc w:val="center"/>
            </w:pPr>
            <w:r>
              <w:t>3.</w:t>
            </w:r>
          </w:p>
        </w:tc>
        <w:tc>
          <w:tcPr>
            <w:tcW w:w="7941" w:type="dxa"/>
            <w:vAlign w:val="center"/>
          </w:tcPr>
          <w:p w:rsidR="002D2D29" w:rsidRDefault="003F151E" w:rsidP="003F151E">
            <w:pPr>
              <w:contextualSpacing/>
              <w:jc w:val="both"/>
            </w:pPr>
            <w:r>
              <w:t>The service must be comparable to</w:t>
            </w:r>
            <w:r w:rsidR="005B2BDA">
              <w:t xml:space="preserve"> what</w:t>
            </w:r>
            <w:r w:rsidR="002D2D29">
              <w:t xml:space="preserve"> another architectural professional </w:t>
            </w:r>
            <w:r w:rsidR="005B2BDA">
              <w:t>would provide under the</w:t>
            </w:r>
            <w:r w:rsidR="002D2D29">
              <w:t xml:space="preserve"> same circumstances during the same period of time.</w:t>
            </w:r>
          </w:p>
        </w:tc>
        <w:tc>
          <w:tcPr>
            <w:tcW w:w="573" w:type="dxa"/>
            <w:vMerge w:val="restart"/>
          </w:tcPr>
          <w:p w:rsidR="002D2D29" w:rsidRDefault="002D2D29" w:rsidP="001B1F14">
            <w:pPr>
              <w:contextualSpacing/>
              <w:jc w:val="center"/>
            </w:pPr>
            <w:r>
              <w:t>(3)</w:t>
            </w:r>
          </w:p>
        </w:tc>
      </w:tr>
      <w:tr w:rsidR="002D2D29" w:rsidTr="0015201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706" w:type="dxa"/>
            <w:vMerge/>
          </w:tcPr>
          <w:p w:rsidR="002D2D29" w:rsidRDefault="002D2D29" w:rsidP="001B1F14">
            <w:pPr>
              <w:contextualSpacing/>
            </w:pPr>
          </w:p>
        </w:tc>
        <w:tc>
          <w:tcPr>
            <w:tcW w:w="425" w:type="dxa"/>
            <w:vMerge/>
          </w:tcPr>
          <w:p w:rsidR="002D2D29" w:rsidRDefault="002D2D29" w:rsidP="001B1F14">
            <w:pPr>
              <w:contextualSpacing/>
              <w:jc w:val="center"/>
            </w:pPr>
          </w:p>
        </w:tc>
        <w:tc>
          <w:tcPr>
            <w:tcW w:w="7941" w:type="dxa"/>
            <w:vAlign w:val="center"/>
          </w:tcPr>
          <w:p w:rsidR="002D2D29" w:rsidRDefault="003F151E" w:rsidP="003F151E">
            <w:pPr>
              <w:contextualSpacing/>
              <w:jc w:val="both"/>
            </w:pPr>
            <w:r w:rsidRPr="00244DC7">
              <w:rPr>
                <w:b/>
                <w:color w:val="FF0000"/>
              </w:rPr>
              <w:t>CORRECT</w:t>
            </w:r>
            <w:r w:rsidR="002D2D29" w:rsidRPr="00AC2AEE">
              <w:rPr>
                <w:color w:val="FF0000"/>
              </w:rPr>
              <w:t xml:space="preserve"> </w:t>
            </w:r>
            <w:r w:rsidR="002D2D29">
              <w:rPr>
                <w:color w:val="FF0000"/>
                <w:vertAlign w:val="superscript"/>
              </w:rPr>
              <w:t>(1)</w:t>
            </w:r>
            <w:r w:rsidR="002D2D29">
              <w:rPr>
                <w:color w:val="FF0000"/>
              </w:rPr>
              <w:t xml:space="preserve"> </w:t>
            </w:r>
            <w:r w:rsidR="002D2D29" w:rsidRPr="00AC2AEE">
              <w:rPr>
                <w:color w:val="FF0000"/>
              </w:rPr>
              <w:t xml:space="preserve">– this is </w:t>
            </w:r>
            <w:r w:rsidR="002D2D29">
              <w:rPr>
                <w:color w:val="FF0000"/>
              </w:rPr>
              <w:t xml:space="preserve">the means to determine </w:t>
            </w:r>
            <w:r w:rsidR="002D2D29" w:rsidRPr="002D2D29">
              <w:rPr>
                <w:color w:val="FF0000"/>
                <w:u w:val="single"/>
              </w:rPr>
              <w:t>reasonable</w:t>
            </w:r>
            <w:r w:rsidR="002D2D29">
              <w:rPr>
                <w:color w:val="FF0000"/>
              </w:rPr>
              <w:t xml:space="preserve"> professional skill, care and diligence </w:t>
            </w:r>
            <w:r w:rsidR="002D2D29">
              <w:rPr>
                <w:color w:val="FF0000"/>
                <w:vertAlign w:val="superscript"/>
              </w:rPr>
              <w:t>(2)</w:t>
            </w:r>
            <w:r w:rsidR="002D2D29">
              <w:rPr>
                <w:color w:val="FF0000"/>
              </w:rPr>
              <w:t>.</w:t>
            </w:r>
          </w:p>
        </w:tc>
        <w:tc>
          <w:tcPr>
            <w:tcW w:w="573" w:type="dxa"/>
            <w:vMerge/>
          </w:tcPr>
          <w:p w:rsidR="002D2D29" w:rsidRDefault="002D2D29" w:rsidP="001B1F14">
            <w:pPr>
              <w:contextualSpacing/>
              <w:jc w:val="center"/>
            </w:pPr>
          </w:p>
        </w:tc>
      </w:tr>
      <w:tr w:rsidR="00DE383E" w:rsidTr="00147FF6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706" w:type="dxa"/>
            <w:vMerge/>
          </w:tcPr>
          <w:p w:rsidR="00DE383E" w:rsidRDefault="00DE383E" w:rsidP="001B1F14">
            <w:pPr>
              <w:contextualSpacing/>
            </w:pPr>
          </w:p>
        </w:tc>
        <w:tc>
          <w:tcPr>
            <w:tcW w:w="8939" w:type="dxa"/>
            <w:gridSpan w:val="3"/>
          </w:tcPr>
          <w:p w:rsidR="00DE383E" w:rsidRDefault="00DE383E" w:rsidP="001B1F14">
            <w:pPr>
              <w:contextualSpacing/>
              <w:jc w:val="center"/>
            </w:pPr>
          </w:p>
        </w:tc>
      </w:tr>
      <w:tr w:rsidR="002D2D29" w:rsidTr="0015201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706" w:type="dxa"/>
            <w:vMerge/>
          </w:tcPr>
          <w:p w:rsidR="002D2D29" w:rsidRDefault="002D2D29" w:rsidP="001B1F14">
            <w:pPr>
              <w:contextualSpacing/>
            </w:pPr>
          </w:p>
        </w:tc>
        <w:tc>
          <w:tcPr>
            <w:tcW w:w="425" w:type="dxa"/>
            <w:vMerge w:val="restart"/>
          </w:tcPr>
          <w:p w:rsidR="002D2D29" w:rsidRDefault="002D2D29" w:rsidP="001B1F14">
            <w:pPr>
              <w:contextualSpacing/>
              <w:jc w:val="center"/>
            </w:pPr>
            <w:r>
              <w:t>4.</w:t>
            </w:r>
          </w:p>
        </w:tc>
        <w:tc>
          <w:tcPr>
            <w:tcW w:w="7941" w:type="dxa"/>
            <w:vAlign w:val="center"/>
          </w:tcPr>
          <w:p w:rsidR="002D2D29" w:rsidRPr="00AC2AEE" w:rsidRDefault="002D2D29" w:rsidP="00253165">
            <w:pPr>
              <w:contextualSpacing/>
              <w:jc w:val="both"/>
              <w:rPr>
                <w:color w:val="FF0000"/>
              </w:rPr>
            </w:pPr>
            <w:r w:rsidRPr="002D2D29">
              <w:t xml:space="preserve">The </w:t>
            </w:r>
            <w:r>
              <w:t xml:space="preserve">contractor </w:t>
            </w:r>
            <w:r w:rsidR="005B2BDA">
              <w:t>is n</w:t>
            </w:r>
            <w:r w:rsidR="00253165">
              <w:t>ot</w:t>
            </w:r>
            <w:r w:rsidR="005B2BDA">
              <w:t xml:space="preserve"> permitted to contribute to the services provided during the design work stage.</w:t>
            </w:r>
          </w:p>
        </w:tc>
        <w:tc>
          <w:tcPr>
            <w:tcW w:w="573" w:type="dxa"/>
            <w:vMerge w:val="restart"/>
          </w:tcPr>
          <w:p w:rsidR="002D2D29" w:rsidRDefault="002D2D29" w:rsidP="001B1F14">
            <w:pPr>
              <w:contextualSpacing/>
              <w:jc w:val="center"/>
            </w:pPr>
            <w:r>
              <w:t>(3)</w:t>
            </w:r>
          </w:p>
        </w:tc>
      </w:tr>
      <w:tr w:rsidR="002D2D29" w:rsidTr="0015201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706" w:type="dxa"/>
            <w:vMerge/>
          </w:tcPr>
          <w:p w:rsidR="002D2D29" w:rsidRDefault="002D2D29" w:rsidP="001B1F14">
            <w:pPr>
              <w:contextualSpacing/>
            </w:pPr>
          </w:p>
        </w:tc>
        <w:tc>
          <w:tcPr>
            <w:tcW w:w="425" w:type="dxa"/>
            <w:vMerge/>
          </w:tcPr>
          <w:p w:rsidR="002D2D29" w:rsidRDefault="002D2D29" w:rsidP="001B1F14">
            <w:pPr>
              <w:contextualSpacing/>
              <w:jc w:val="center"/>
            </w:pPr>
          </w:p>
        </w:tc>
        <w:tc>
          <w:tcPr>
            <w:tcW w:w="7941" w:type="dxa"/>
            <w:vAlign w:val="center"/>
          </w:tcPr>
          <w:p w:rsidR="002D2D29" w:rsidRPr="00AC2AEE" w:rsidRDefault="005B2BDA" w:rsidP="002D2D29">
            <w:pPr>
              <w:contextualSpacing/>
              <w:jc w:val="both"/>
              <w:rPr>
                <w:color w:val="FF0000"/>
              </w:rPr>
            </w:pPr>
            <w:r w:rsidRPr="00244DC7">
              <w:rPr>
                <w:b/>
                <w:color w:val="FF0000"/>
              </w:rPr>
              <w:t>INCORRECT</w:t>
            </w:r>
            <w:r w:rsidR="002D2D29" w:rsidRPr="00AC2AEE">
              <w:rPr>
                <w:color w:val="FF0000"/>
              </w:rPr>
              <w:t xml:space="preserve"> </w:t>
            </w:r>
            <w:r w:rsidR="002D2D29">
              <w:rPr>
                <w:color w:val="FF0000"/>
                <w:vertAlign w:val="superscript"/>
              </w:rPr>
              <w:t>(1)</w:t>
            </w:r>
            <w:r w:rsidR="002D2D29">
              <w:rPr>
                <w:color w:val="FF0000"/>
              </w:rPr>
              <w:t xml:space="preserve"> </w:t>
            </w:r>
            <w:r w:rsidR="002D2D29" w:rsidRPr="00AC2AEE">
              <w:rPr>
                <w:color w:val="FF0000"/>
              </w:rPr>
              <w:t xml:space="preserve">– </w:t>
            </w:r>
            <w:r w:rsidR="002D2D29">
              <w:rPr>
                <w:color w:val="FF0000"/>
              </w:rPr>
              <w:t xml:space="preserve">there are contractual arrangements whereby the contractor acts as an integral part of the professional team </w:t>
            </w:r>
            <w:r w:rsidR="002D2D29">
              <w:rPr>
                <w:color w:val="FF0000"/>
                <w:vertAlign w:val="superscript"/>
              </w:rPr>
              <w:t>(2)</w:t>
            </w:r>
            <w:r w:rsidR="002D2D29">
              <w:rPr>
                <w:color w:val="FF0000"/>
              </w:rPr>
              <w:t>.</w:t>
            </w:r>
          </w:p>
        </w:tc>
        <w:tc>
          <w:tcPr>
            <w:tcW w:w="573" w:type="dxa"/>
            <w:vMerge/>
          </w:tcPr>
          <w:p w:rsidR="002D2D29" w:rsidRDefault="002D2D29" w:rsidP="001B1F14">
            <w:pPr>
              <w:contextualSpacing/>
              <w:jc w:val="center"/>
            </w:pPr>
          </w:p>
        </w:tc>
      </w:tr>
      <w:tr w:rsidR="00152012" w:rsidTr="0015201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645" w:type="dxa"/>
            <w:gridSpan w:val="4"/>
          </w:tcPr>
          <w:p w:rsidR="00152012" w:rsidRDefault="00152012" w:rsidP="001B1F14">
            <w:pPr>
              <w:contextualSpacing/>
              <w:jc w:val="center"/>
            </w:pPr>
          </w:p>
        </w:tc>
      </w:tr>
    </w:tbl>
    <w:p w:rsidR="00407416" w:rsidRDefault="00407416" w:rsidP="00540AFE">
      <w:pPr>
        <w:spacing w:after="0" w:line="240" w:lineRule="auto"/>
        <w:contextualSpacing/>
        <w:jc w:val="both"/>
      </w:pPr>
    </w:p>
    <w:p w:rsidR="003B09C4" w:rsidRDefault="003B09C4" w:rsidP="00540AFE">
      <w:pPr>
        <w:spacing w:after="0" w:line="240" w:lineRule="auto"/>
        <w:contextualSpacing/>
        <w:jc w:val="both"/>
      </w:pPr>
    </w:p>
    <w:p w:rsidR="003B09C4" w:rsidRPr="008F2399" w:rsidRDefault="003B09C4" w:rsidP="003B09C4">
      <w:pPr>
        <w:pBdr>
          <w:bottom w:val="single" w:sz="8" w:space="1" w:color="7F7F7F" w:themeColor="text1" w:themeTint="80"/>
        </w:pBdr>
        <w:spacing w:after="0" w:line="240" w:lineRule="auto"/>
        <w:contextualSpacing/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</w:pP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>QUESTION 5</w:t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>25</w:t>
      </w:r>
      <w:r w:rsidRPr="000E439C"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 xml:space="preserve"> marks</w:t>
      </w:r>
    </w:p>
    <w:p w:rsidR="003B09C4" w:rsidRDefault="003B09C4" w:rsidP="00540AFE">
      <w:pPr>
        <w:spacing w:after="0" w:line="240" w:lineRule="auto"/>
        <w:contextualSpacing/>
        <w:jc w:val="both"/>
      </w:pPr>
    </w:p>
    <w:tbl>
      <w:tblPr>
        <w:tblStyle w:val="TableGrid"/>
        <w:tblW w:w="9645" w:type="dxa"/>
        <w:tblInd w:w="-10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6"/>
        <w:gridCol w:w="8366"/>
        <w:gridCol w:w="573"/>
      </w:tblGrid>
      <w:tr w:rsidR="00AE5944" w:rsidTr="001B1F14">
        <w:tc>
          <w:tcPr>
            <w:tcW w:w="706" w:type="dxa"/>
            <w:vMerge w:val="restart"/>
          </w:tcPr>
          <w:p w:rsidR="00AE5944" w:rsidRDefault="00BE2FAA" w:rsidP="001B1F14">
            <w:pPr>
              <w:contextualSpacing/>
            </w:pPr>
            <w:r>
              <w:t>5.1</w:t>
            </w:r>
          </w:p>
        </w:tc>
        <w:tc>
          <w:tcPr>
            <w:tcW w:w="8366" w:type="dxa"/>
            <w:vAlign w:val="center"/>
          </w:tcPr>
          <w:p w:rsidR="00AE5944" w:rsidRDefault="00AE5944" w:rsidP="0050487B">
            <w:pPr>
              <w:contextualSpacing/>
              <w:jc w:val="both"/>
            </w:pPr>
            <w:r>
              <w:t>Identify five architectural services that qualify for additional professional fees.</w:t>
            </w:r>
          </w:p>
        </w:tc>
        <w:tc>
          <w:tcPr>
            <w:tcW w:w="573" w:type="dxa"/>
            <w:vMerge w:val="restart"/>
          </w:tcPr>
          <w:p w:rsidR="00AE5944" w:rsidRDefault="00AE5944" w:rsidP="00BE2FAA">
            <w:pPr>
              <w:contextualSpacing/>
              <w:jc w:val="center"/>
            </w:pPr>
            <w:r>
              <w:t>(</w:t>
            </w:r>
            <w:r w:rsidR="00BE2FAA">
              <w:t>10</w:t>
            </w:r>
            <w:r>
              <w:t>)</w:t>
            </w:r>
          </w:p>
        </w:tc>
      </w:tr>
      <w:tr w:rsidR="00AE5944" w:rsidTr="001B1F14">
        <w:tc>
          <w:tcPr>
            <w:tcW w:w="706" w:type="dxa"/>
            <w:vMerge/>
          </w:tcPr>
          <w:p w:rsidR="00AE5944" w:rsidRDefault="00AE5944" w:rsidP="001B1F14">
            <w:pPr>
              <w:contextualSpacing/>
            </w:pPr>
          </w:p>
        </w:tc>
        <w:tc>
          <w:tcPr>
            <w:tcW w:w="8366" w:type="dxa"/>
            <w:vAlign w:val="center"/>
          </w:tcPr>
          <w:p w:rsidR="00AE5944" w:rsidRDefault="00BE2FAA" w:rsidP="00BE2FAA">
            <w:r>
              <w:rPr>
                <w:i/>
                <w:color w:val="FF0000"/>
              </w:rPr>
              <w:t>2</w:t>
            </w:r>
            <w:r w:rsidR="00AE5944">
              <w:rPr>
                <w:i/>
                <w:color w:val="FF0000"/>
              </w:rPr>
              <w:t xml:space="preserve"> mark</w:t>
            </w:r>
            <w:r>
              <w:rPr>
                <w:i/>
                <w:color w:val="FF0000"/>
              </w:rPr>
              <w:t>s</w:t>
            </w:r>
            <w:r w:rsidR="00AE5944">
              <w:rPr>
                <w:i/>
                <w:color w:val="FF0000"/>
              </w:rPr>
              <w:t xml:space="preserve"> for any of the items listed under 1.2.1 of the SACAP Framework for Professional Fees Guideline: Board Notice 121 of 2015 (total </w:t>
            </w:r>
            <w:r>
              <w:rPr>
                <w:i/>
                <w:color w:val="FF0000"/>
              </w:rPr>
              <w:t>10</w:t>
            </w:r>
            <w:r w:rsidR="00AE5944">
              <w:rPr>
                <w:i/>
                <w:color w:val="FF0000"/>
              </w:rPr>
              <w:t xml:space="preserve"> marks)</w:t>
            </w:r>
          </w:p>
        </w:tc>
        <w:tc>
          <w:tcPr>
            <w:tcW w:w="573" w:type="dxa"/>
            <w:vMerge/>
          </w:tcPr>
          <w:p w:rsidR="00AE5944" w:rsidRDefault="00AE5944" w:rsidP="0080794E">
            <w:pPr>
              <w:contextualSpacing/>
              <w:jc w:val="center"/>
            </w:pPr>
          </w:p>
        </w:tc>
      </w:tr>
      <w:tr w:rsidR="00BE2FAA" w:rsidTr="00274E06">
        <w:tc>
          <w:tcPr>
            <w:tcW w:w="9645" w:type="dxa"/>
            <w:gridSpan w:val="3"/>
          </w:tcPr>
          <w:p w:rsidR="00BE2FAA" w:rsidRDefault="00BE2FAA" w:rsidP="0080794E">
            <w:pPr>
              <w:contextualSpacing/>
              <w:jc w:val="center"/>
            </w:pPr>
          </w:p>
        </w:tc>
      </w:tr>
      <w:tr w:rsidR="00BE2FAA" w:rsidTr="001B1F14">
        <w:tc>
          <w:tcPr>
            <w:tcW w:w="706" w:type="dxa"/>
            <w:vMerge w:val="restart"/>
          </w:tcPr>
          <w:p w:rsidR="00BE2FAA" w:rsidRDefault="00BE2FAA" w:rsidP="001B1F14">
            <w:pPr>
              <w:contextualSpacing/>
            </w:pPr>
            <w:r>
              <w:t>5.2</w:t>
            </w:r>
          </w:p>
        </w:tc>
        <w:tc>
          <w:tcPr>
            <w:tcW w:w="8366" w:type="dxa"/>
            <w:vAlign w:val="center"/>
          </w:tcPr>
          <w:p w:rsidR="00BE2FAA" w:rsidRDefault="00BE2FAA" w:rsidP="0050487B">
            <w:pPr>
              <w:contextualSpacing/>
              <w:jc w:val="both"/>
            </w:pPr>
            <w:r>
              <w:t>Which form of business entity would one consider when forming a newly established architectural practice?</w:t>
            </w:r>
          </w:p>
        </w:tc>
        <w:tc>
          <w:tcPr>
            <w:tcW w:w="573" w:type="dxa"/>
            <w:vMerge w:val="restart"/>
          </w:tcPr>
          <w:p w:rsidR="00BE2FAA" w:rsidRDefault="00BE2FAA" w:rsidP="00BE2FAA">
            <w:pPr>
              <w:contextualSpacing/>
              <w:jc w:val="center"/>
            </w:pPr>
            <w:r>
              <w:t>(3)</w:t>
            </w:r>
          </w:p>
        </w:tc>
      </w:tr>
      <w:tr w:rsidR="00BE2FAA" w:rsidTr="001B1F14">
        <w:tc>
          <w:tcPr>
            <w:tcW w:w="706" w:type="dxa"/>
            <w:vMerge/>
          </w:tcPr>
          <w:p w:rsidR="00BE2FAA" w:rsidRDefault="00BE2FAA" w:rsidP="001B1F14">
            <w:pPr>
              <w:contextualSpacing/>
            </w:pPr>
          </w:p>
        </w:tc>
        <w:tc>
          <w:tcPr>
            <w:tcW w:w="8366" w:type="dxa"/>
            <w:vAlign w:val="center"/>
          </w:tcPr>
          <w:p w:rsidR="00BE2FAA" w:rsidRPr="00685275" w:rsidRDefault="00BE2FAA" w:rsidP="00BE2FA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3 marks for </w:t>
            </w:r>
            <w:r w:rsidR="00037D39">
              <w:rPr>
                <w:i/>
                <w:color w:val="FF0000"/>
              </w:rPr>
              <w:t>any</w:t>
            </w:r>
            <w:r>
              <w:rPr>
                <w:i/>
                <w:color w:val="FF0000"/>
              </w:rPr>
              <w:t xml:space="preserve"> of the following</w:t>
            </w:r>
            <w:r w:rsidR="006F32B7">
              <w:rPr>
                <w:i/>
                <w:color w:val="FF0000"/>
              </w:rPr>
              <w:t>:</w:t>
            </w:r>
          </w:p>
          <w:p w:rsidR="00BE2FAA" w:rsidRPr="00BE2FAA" w:rsidRDefault="00BE2FAA" w:rsidP="00BE2FAA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BE2FAA">
              <w:rPr>
                <w:color w:val="FF0000"/>
              </w:rPr>
              <w:t>Sole</w:t>
            </w:r>
            <w:r w:rsidR="00244DC7">
              <w:rPr>
                <w:color w:val="FF0000"/>
              </w:rPr>
              <w:t xml:space="preserve"> P</w:t>
            </w:r>
            <w:r w:rsidRPr="00BE2FAA">
              <w:rPr>
                <w:color w:val="FF0000"/>
              </w:rPr>
              <w:t>roprietorship</w:t>
            </w:r>
          </w:p>
          <w:p w:rsidR="00BE2FAA" w:rsidRPr="001B730A" w:rsidRDefault="00BE2FAA" w:rsidP="00BE2FAA">
            <w:pPr>
              <w:pStyle w:val="ListParagraph"/>
              <w:numPr>
                <w:ilvl w:val="0"/>
                <w:numId w:val="31"/>
              </w:numPr>
              <w:ind w:left="321" w:hanging="283"/>
            </w:pPr>
            <w:r w:rsidRPr="00BE2FAA">
              <w:rPr>
                <w:color w:val="FF0000"/>
              </w:rPr>
              <w:t>Partnership</w:t>
            </w:r>
          </w:p>
          <w:p w:rsidR="00244DC7" w:rsidRPr="00244DC7" w:rsidRDefault="00244DC7" w:rsidP="001B730A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244DC7">
              <w:rPr>
                <w:color w:val="FF0000"/>
              </w:rPr>
              <w:t>Incorporated Company</w:t>
            </w:r>
          </w:p>
          <w:p w:rsidR="001B730A" w:rsidRDefault="001B730A" w:rsidP="001B730A">
            <w:pPr>
              <w:pStyle w:val="ListParagraph"/>
              <w:numPr>
                <w:ilvl w:val="0"/>
                <w:numId w:val="31"/>
              </w:numPr>
              <w:ind w:left="321" w:hanging="283"/>
            </w:pPr>
            <w:r>
              <w:rPr>
                <w:color w:val="FF0000"/>
              </w:rPr>
              <w:t xml:space="preserve">Proprietary Limited </w:t>
            </w:r>
          </w:p>
        </w:tc>
        <w:tc>
          <w:tcPr>
            <w:tcW w:w="573" w:type="dxa"/>
            <w:vMerge/>
          </w:tcPr>
          <w:p w:rsidR="00BE2FAA" w:rsidRDefault="00BE2FAA" w:rsidP="00BE2FAA">
            <w:pPr>
              <w:contextualSpacing/>
              <w:jc w:val="center"/>
            </w:pPr>
          </w:p>
        </w:tc>
      </w:tr>
      <w:tr w:rsidR="00BE2FAA" w:rsidTr="001B1F14">
        <w:tc>
          <w:tcPr>
            <w:tcW w:w="706" w:type="dxa"/>
          </w:tcPr>
          <w:p w:rsidR="00BE2FAA" w:rsidRDefault="00BE2FAA" w:rsidP="001B1F14">
            <w:pPr>
              <w:contextualSpacing/>
            </w:pPr>
          </w:p>
        </w:tc>
        <w:tc>
          <w:tcPr>
            <w:tcW w:w="8366" w:type="dxa"/>
            <w:vAlign w:val="center"/>
          </w:tcPr>
          <w:p w:rsidR="00BE2FAA" w:rsidRDefault="00BE2FAA" w:rsidP="0050487B">
            <w:pPr>
              <w:contextualSpacing/>
              <w:jc w:val="both"/>
            </w:pPr>
          </w:p>
        </w:tc>
        <w:tc>
          <w:tcPr>
            <w:tcW w:w="573" w:type="dxa"/>
          </w:tcPr>
          <w:p w:rsidR="00BE2FAA" w:rsidRDefault="00BE2FAA" w:rsidP="00BE2FAA">
            <w:pPr>
              <w:contextualSpacing/>
              <w:jc w:val="center"/>
            </w:pPr>
          </w:p>
        </w:tc>
      </w:tr>
      <w:tr w:rsidR="0080794E" w:rsidTr="001B1F14">
        <w:tc>
          <w:tcPr>
            <w:tcW w:w="706" w:type="dxa"/>
            <w:vMerge w:val="restart"/>
          </w:tcPr>
          <w:p w:rsidR="0080794E" w:rsidRDefault="00BE2FAA" w:rsidP="001B1F14">
            <w:pPr>
              <w:contextualSpacing/>
            </w:pPr>
            <w:r>
              <w:t>5.3</w:t>
            </w:r>
          </w:p>
        </w:tc>
        <w:tc>
          <w:tcPr>
            <w:tcW w:w="8366" w:type="dxa"/>
            <w:vAlign w:val="center"/>
          </w:tcPr>
          <w:p w:rsidR="0080794E" w:rsidRDefault="0080794E" w:rsidP="00190F5B">
            <w:pPr>
              <w:contextualSpacing/>
              <w:jc w:val="both"/>
            </w:pPr>
            <w:r>
              <w:t xml:space="preserve">Identify </w:t>
            </w:r>
            <w:r w:rsidR="00190F5B">
              <w:t>three</w:t>
            </w:r>
            <w:r>
              <w:t xml:space="preserve"> forms of legislation to </w:t>
            </w:r>
            <w:r w:rsidR="0050487B">
              <w:t xml:space="preserve">be </w:t>
            </w:r>
            <w:r>
              <w:t>consider</w:t>
            </w:r>
            <w:r w:rsidR="0050487B">
              <w:t>ed</w:t>
            </w:r>
            <w:r>
              <w:t xml:space="preserve"> when formalising an architectural practice as a business entity.</w:t>
            </w:r>
            <w:bookmarkStart w:id="0" w:name="_GoBack"/>
            <w:bookmarkEnd w:id="0"/>
          </w:p>
        </w:tc>
        <w:tc>
          <w:tcPr>
            <w:tcW w:w="573" w:type="dxa"/>
            <w:vMerge w:val="restart"/>
          </w:tcPr>
          <w:p w:rsidR="0080794E" w:rsidRDefault="0080794E" w:rsidP="00BE2FAA">
            <w:pPr>
              <w:contextualSpacing/>
              <w:jc w:val="center"/>
            </w:pPr>
            <w:r>
              <w:t>(</w:t>
            </w:r>
            <w:r w:rsidR="00BE2FAA">
              <w:t>6</w:t>
            </w:r>
            <w:r>
              <w:t>)</w:t>
            </w:r>
          </w:p>
        </w:tc>
      </w:tr>
      <w:tr w:rsidR="0080794E" w:rsidTr="001B1F14">
        <w:tc>
          <w:tcPr>
            <w:tcW w:w="706" w:type="dxa"/>
            <w:vMerge/>
          </w:tcPr>
          <w:p w:rsidR="0080794E" w:rsidRDefault="0080794E" w:rsidP="001B1F14">
            <w:pPr>
              <w:contextualSpacing/>
            </w:pPr>
          </w:p>
        </w:tc>
        <w:tc>
          <w:tcPr>
            <w:tcW w:w="8366" w:type="dxa"/>
            <w:vAlign w:val="center"/>
          </w:tcPr>
          <w:p w:rsidR="0080794E" w:rsidRPr="00685275" w:rsidRDefault="00BE2FAA" w:rsidP="001B1F1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2</w:t>
            </w:r>
            <w:r w:rsidR="0050487B">
              <w:rPr>
                <w:i/>
                <w:color w:val="FF0000"/>
              </w:rPr>
              <w:t xml:space="preserve"> mark</w:t>
            </w:r>
            <w:r>
              <w:rPr>
                <w:i/>
                <w:color w:val="FF0000"/>
              </w:rPr>
              <w:t>s</w:t>
            </w:r>
            <w:r w:rsidR="0080794E">
              <w:rPr>
                <w:i/>
                <w:color w:val="FF0000"/>
              </w:rPr>
              <w:t xml:space="preserve"> for any of the following or in a similar vein </w:t>
            </w:r>
            <w:r>
              <w:rPr>
                <w:i/>
                <w:color w:val="FF0000"/>
              </w:rPr>
              <w:t>(total 6</w:t>
            </w:r>
            <w:r w:rsidR="0080794E">
              <w:rPr>
                <w:i/>
                <w:color w:val="FF0000"/>
              </w:rPr>
              <w:t xml:space="preserve"> marks)</w:t>
            </w:r>
            <w:r w:rsidR="006F32B7">
              <w:rPr>
                <w:i/>
                <w:color w:val="FF0000"/>
              </w:rPr>
              <w:t>:</w:t>
            </w:r>
          </w:p>
          <w:p w:rsidR="0080794E" w:rsidRDefault="0080794E" w:rsidP="001B1F14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>
              <w:rPr>
                <w:color w:val="FF0000"/>
              </w:rPr>
              <w:t>Companies Act</w:t>
            </w:r>
          </w:p>
          <w:p w:rsidR="0080794E" w:rsidRDefault="0080794E" w:rsidP="001B1F14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>
              <w:rPr>
                <w:color w:val="FF0000"/>
              </w:rPr>
              <w:t>Labour Relations Act</w:t>
            </w:r>
          </w:p>
          <w:p w:rsidR="0080794E" w:rsidRDefault="0080794E" w:rsidP="001B1F14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>
              <w:rPr>
                <w:color w:val="FF0000"/>
              </w:rPr>
              <w:t>Basic Conditions of Employment Act</w:t>
            </w:r>
          </w:p>
          <w:p w:rsidR="0080794E" w:rsidRDefault="0080794E" w:rsidP="001B1F14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>
              <w:rPr>
                <w:color w:val="FF0000"/>
              </w:rPr>
              <w:t>Skills Development Act</w:t>
            </w:r>
          </w:p>
          <w:p w:rsidR="0080794E" w:rsidRDefault="0080794E" w:rsidP="001B1F14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>
              <w:rPr>
                <w:color w:val="FF0000"/>
              </w:rPr>
              <w:t>Unemployment Insurance Act</w:t>
            </w:r>
          </w:p>
          <w:p w:rsidR="0080794E" w:rsidRDefault="0080794E" w:rsidP="001B1F14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>
              <w:rPr>
                <w:color w:val="FF0000"/>
              </w:rPr>
              <w:t>Occupational Health and Safety Act</w:t>
            </w:r>
          </w:p>
          <w:p w:rsidR="0080794E" w:rsidRDefault="0080794E" w:rsidP="001B1F14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>
              <w:rPr>
                <w:color w:val="FF0000"/>
              </w:rPr>
              <w:t>Unemployment Insurance Fund Act</w:t>
            </w:r>
          </w:p>
          <w:p w:rsidR="0080794E" w:rsidRDefault="0080794E" w:rsidP="001B1F14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>
              <w:rPr>
                <w:color w:val="FF0000"/>
              </w:rPr>
              <w:t>Value Added Tax Act</w:t>
            </w:r>
          </w:p>
          <w:p w:rsidR="0080794E" w:rsidRPr="0050487B" w:rsidRDefault="0080794E" w:rsidP="0080794E">
            <w:pPr>
              <w:pStyle w:val="ListParagraph"/>
              <w:numPr>
                <w:ilvl w:val="0"/>
                <w:numId w:val="31"/>
              </w:numPr>
              <w:ind w:left="321" w:hanging="283"/>
            </w:pPr>
            <w:r>
              <w:rPr>
                <w:color w:val="FF0000"/>
              </w:rPr>
              <w:t>Income Tax Act</w:t>
            </w:r>
          </w:p>
          <w:p w:rsidR="0050487B" w:rsidRDefault="0050487B" w:rsidP="0050487B">
            <w:pPr>
              <w:pStyle w:val="ListParagraph"/>
              <w:numPr>
                <w:ilvl w:val="0"/>
                <w:numId w:val="31"/>
              </w:numPr>
              <w:ind w:left="321" w:hanging="283"/>
            </w:pPr>
            <w:r w:rsidRPr="0050487B">
              <w:rPr>
                <w:color w:val="FF0000"/>
              </w:rPr>
              <w:t>Broad-Based Black Economic Empowerment Act</w:t>
            </w:r>
          </w:p>
        </w:tc>
        <w:tc>
          <w:tcPr>
            <w:tcW w:w="573" w:type="dxa"/>
            <w:vMerge/>
          </w:tcPr>
          <w:p w:rsidR="0080794E" w:rsidRDefault="0080794E" w:rsidP="001B1F14">
            <w:pPr>
              <w:contextualSpacing/>
              <w:jc w:val="center"/>
            </w:pPr>
          </w:p>
        </w:tc>
      </w:tr>
      <w:tr w:rsidR="000E0D9C" w:rsidTr="0067173F">
        <w:tc>
          <w:tcPr>
            <w:tcW w:w="9645" w:type="dxa"/>
            <w:gridSpan w:val="3"/>
          </w:tcPr>
          <w:p w:rsidR="000E0D9C" w:rsidRDefault="000E0D9C" w:rsidP="001B1F14">
            <w:pPr>
              <w:contextualSpacing/>
              <w:jc w:val="center"/>
            </w:pPr>
          </w:p>
        </w:tc>
      </w:tr>
      <w:tr w:rsidR="00BE2FAA" w:rsidTr="001B1F14">
        <w:tc>
          <w:tcPr>
            <w:tcW w:w="706" w:type="dxa"/>
            <w:vMerge w:val="restart"/>
          </w:tcPr>
          <w:p w:rsidR="00BE2FAA" w:rsidRDefault="00BE2FAA" w:rsidP="001B1F14">
            <w:pPr>
              <w:contextualSpacing/>
            </w:pPr>
            <w:r>
              <w:t>5.4</w:t>
            </w:r>
          </w:p>
        </w:tc>
        <w:tc>
          <w:tcPr>
            <w:tcW w:w="8366" w:type="dxa"/>
            <w:vAlign w:val="center"/>
          </w:tcPr>
          <w:p w:rsidR="00BE2FAA" w:rsidRDefault="00BE2FAA" w:rsidP="005B5A9D">
            <w:pPr>
              <w:jc w:val="both"/>
            </w:pPr>
            <w:r>
              <w:t>Identify three</w:t>
            </w:r>
            <w:r w:rsidR="001B730A">
              <w:t xml:space="preserve"> ways in which one could appoint an employee in order to obtain additional personnel resources.</w:t>
            </w:r>
          </w:p>
        </w:tc>
        <w:tc>
          <w:tcPr>
            <w:tcW w:w="573" w:type="dxa"/>
            <w:vMerge w:val="restart"/>
          </w:tcPr>
          <w:p w:rsidR="00BE2FAA" w:rsidRDefault="00BE2FAA" w:rsidP="001B1F14">
            <w:pPr>
              <w:contextualSpacing/>
              <w:jc w:val="center"/>
            </w:pPr>
            <w:r>
              <w:t>(6)</w:t>
            </w:r>
          </w:p>
        </w:tc>
      </w:tr>
      <w:tr w:rsidR="00BE2FAA" w:rsidTr="001B1F14">
        <w:tc>
          <w:tcPr>
            <w:tcW w:w="706" w:type="dxa"/>
            <w:vMerge/>
          </w:tcPr>
          <w:p w:rsidR="00BE2FAA" w:rsidRDefault="00BE2FAA" w:rsidP="001B1F14">
            <w:pPr>
              <w:contextualSpacing/>
            </w:pPr>
          </w:p>
        </w:tc>
        <w:tc>
          <w:tcPr>
            <w:tcW w:w="8366" w:type="dxa"/>
            <w:vAlign w:val="center"/>
          </w:tcPr>
          <w:p w:rsidR="00BE2FAA" w:rsidRPr="00685275" w:rsidRDefault="00BE2FAA" w:rsidP="00BE2FA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2 marks for any of the following or in a similar vein (total 6 marks)</w:t>
            </w:r>
            <w:r w:rsidR="006F32B7">
              <w:rPr>
                <w:i/>
                <w:color w:val="FF0000"/>
              </w:rPr>
              <w:t>:</w:t>
            </w:r>
          </w:p>
          <w:p w:rsidR="00BE2FAA" w:rsidRPr="00BE2FAA" w:rsidRDefault="00BE2FAA" w:rsidP="00BE2FAA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BE2FAA">
              <w:rPr>
                <w:color w:val="FF0000"/>
              </w:rPr>
              <w:t>independent contractors / contract workers</w:t>
            </w:r>
          </w:p>
          <w:p w:rsidR="00BE2FAA" w:rsidRPr="00BE2FAA" w:rsidRDefault="00BE2FAA" w:rsidP="00BE2FAA">
            <w:pPr>
              <w:pStyle w:val="ListParagraph"/>
              <w:numPr>
                <w:ilvl w:val="0"/>
                <w:numId w:val="31"/>
              </w:numPr>
              <w:ind w:left="321" w:hanging="283"/>
              <w:rPr>
                <w:color w:val="FF0000"/>
              </w:rPr>
            </w:pPr>
            <w:r w:rsidRPr="00BE2FAA">
              <w:rPr>
                <w:color w:val="FF0000"/>
              </w:rPr>
              <w:t>temporary employees</w:t>
            </w:r>
          </w:p>
          <w:p w:rsidR="00BE2FAA" w:rsidRDefault="00BE2FAA" w:rsidP="00BE2FAA">
            <w:pPr>
              <w:pStyle w:val="ListParagraph"/>
              <w:numPr>
                <w:ilvl w:val="0"/>
                <w:numId w:val="31"/>
              </w:numPr>
              <w:ind w:left="321" w:hanging="283"/>
            </w:pPr>
            <w:r w:rsidRPr="00BE2FAA">
              <w:rPr>
                <w:color w:val="FF0000"/>
              </w:rPr>
              <w:t>permanent employees</w:t>
            </w:r>
          </w:p>
        </w:tc>
        <w:tc>
          <w:tcPr>
            <w:tcW w:w="573" w:type="dxa"/>
            <w:vMerge/>
          </w:tcPr>
          <w:p w:rsidR="00BE2FAA" w:rsidRDefault="00BE2FAA" w:rsidP="001B1F14">
            <w:pPr>
              <w:contextualSpacing/>
              <w:jc w:val="center"/>
            </w:pPr>
          </w:p>
        </w:tc>
      </w:tr>
      <w:tr w:rsidR="0080794E" w:rsidTr="001B1F14">
        <w:tc>
          <w:tcPr>
            <w:tcW w:w="9645" w:type="dxa"/>
            <w:gridSpan w:val="3"/>
          </w:tcPr>
          <w:p w:rsidR="0080794E" w:rsidRDefault="0080794E" w:rsidP="001B1F14">
            <w:pPr>
              <w:contextualSpacing/>
              <w:jc w:val="center"/>
            </w:pPr>
          </w:p>
        </w:tc>
      </w:tr>
    </w:tbl>
    <w:p w:rsidR="0080794E" w:rsidRDefault="0080794E" w:rsidP="00540AFE">
      <w:pPr>
        <w:spacing w:after="0" w:line="240" w:lineRule="auto"/>
        <w:contextualSpacing/>
        <w:jc w:val="both"/>
      </w:pPr>
    </w:p>
    <w:p w:rsidR="0080794E" w:rsidRDefault="0080794E" w:rsidP="00540AFE">
      <w:pPr>
        <w:spacing w:after="0" w:line="240" w:lineRule="auto"/>
        <w:contextualSpacing/>
        <w:jc w:val="both"/>
      </w:pPr>
    </w:p>
    <w:p w:rsidR="0080794E" w:rsidRDefault="0080794E" w:rsidP="00540AFE">
      <w:pPr>
        <w:spacing w:after="0" w:line="240" w:lineRule="auto"/>
        <w:contextualSpacing/>
        <w:jc w:val="both"/>
      </w:pPr>
    </w:p>
    <w:p w:rsidR="003B09C4" w:rsidRDefault="003B09C4" w:rsidP="00540AFE">
      <w:pPr>
        <w:spacing w:after="0" w:line="240" w:lineRule="auto"/>
        <w:contextualSpacing/>
        <w:jc w:val="both"/>
      </w:pPr>
    </w:p>
    <w:p w:rsidR="003B09C4" w:rsidRDefault="003B09C4" w:rsidP="00540AFE">
      <w:pPr>
        <w:spacing w:after="0" w:line="240" w:lineRule="auto"/>
        <w:contextualSpacing/>
        <w:jc w:val="both"/>
      </w:pPr>
    </w:p>
    <w:p w:rsidR="0039454E" w:rsidRDefault="0039454E" w:rsidP="00540AFE">
      <w:pPr>
        <w:spacing w:after="0" w:line="240" w:lineRule="auto"/>
        <w:contextualSpacing/>
        <w:jc w:val="both"/>
      </w:pPr>
    </w:p>
    <w:p w:rsidR="007D0311" w:rsidRDefault="007D0311" w:rsidP="00540AFE">
      <w:pPr>
        <w:spacing w:after="0" w:line="240" w:lineRule="auto"/>
        <w:contextualSpacing/>
        <w:jc w:val="both"/>
      </w:pPr>
    </w:p>
    <w:sectPr w:rsidR="007D0311" w:rsidSect="00937DB2">
      <w:headerReference w:type="default" r:id="rId9"/>
      <w:footerReference w:type="even" r:id="rId10"/>
      <w:footerReference w:type="default" r:id="rId11"/>
      <w:type w:val="continuous"/>
      <w:pgSz w:w="11906" w:h="16838" w:code="9"/>
      <w:pgMar w:top="851" w:right="1134" w:bottom="851" w:left="1134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417" w:rsidRDefault="00857417" w:rsidP="00A14DAA">
      <w:pPr>
        <w:spacing w:after="0" w:line="240" w:lineRule="auto"/>
      </w:pPr>
      <w:r>
        <w:separator/>
      </w:r>
    </w:p>
  </w:endnote>
  <w:endnote w:type="continuationSeparator" w:id="0">
    <w:p w:rsidR="00857417" w:rsidRDefault="00857417" w:rsidP="00A1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908" w:rsidRDefault="00200908" w:rsidP="00A14DAA">
    <w:pPr>
      <w:pStyle w:val="Footer"/>
      <w:ind w:right="-73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616900"/>
      <w:docPartObj>
        <w:docPartGallery w:val="Page Numbers (Top of Page)"/>
        <w:docPartUnique/>
      </w:docPartObj>
    </w:sdtPr>
    <w:sdtEndPr/>
    <w:sdtContent>
      <w:p w:rsidR="00200908" w:rsidRPr="00B6010A" w:rsidRDefault="00200908" w:rsidP="00B6010A">
        <w:pPr>
          <w:pStyle w:val="Footer"/>
          <w:jc w:val="right"/>
        </w:pPr>
        <w:r w:rsidRPr="009F39F3">
          <w:rPr>
            <w:sz w:val="20"/>
          </w:rPr>
          <w:t xml:space="preserve">page </w:t>
        </w:r>
        <w:r w:rsidRPr="009F39F3">
          <w:rPr>
            <w:bCs/>
            <w:sz w:val="20"/>
          </w:rPr>
          <w:fldChar w:fldCharType="begin"/>
        </w:r>
        <w:r w:rsidRPr="009F39F3">
          <w:rPr>
            <w:bCs/>
            <w:sz w:val="20"/>
          </w:rPr>
          <w:instrText xml:space="preserve"> PAGE </w:instrText>
        </w:r>
        <w:r w:rsidRPr="009F39F3">
          <w:rPr>
            <w:bCs/>
            <w:sz w:val="20"/>
          </w:rPr>
          <w:fldChar w:fldCharType="separate"/>
        </w:r>
        <w:r w:rsidR="009837E6">
          <w:rPr>
            <w:bCs/>
            <w:noProof/>
            <w:sz w:val="20"/>
          </w:rPr>
          <w:t>5</w:t>
        </w:r>
        <w:r w:rsidRPr="009F39F3">
          <w:rPr>
            <w:bCs/>
            <w:sz w:val="20"/>
          </w:rPr>
          <w:fldChar w:fldCharType="end"/>
        </w:r>
        <w:r w:rsidRPr="009F39F3">
          <w:rPr>
            <w:sz w:val="20"/>
          </w:rPr>
          <w:t xml:space="preserve"> of </w:t>
        </w:r>
        <w:r w:rsidRPr="009F39F3">
          <w:rPr>
            <w:bCs/>
            <w:sz w:val="20"/>
          </w:rPr>
          <w:fldChar w:fldCharType="begin"/>
        </w:r>
        <w:r w:rsidRPr="009F39F3">
          <w:rPr>
            <w:bCs/>
            <w:sz w:val="20"/>
          </w:rPr>
          <w:instrText xml:space="preserve"> NUMPAGES  </w:instrText>
        </w:r>
        <w:r w:rsidRPr="009F39F3">
          <w:rPr>
            <w:bCs/>
            <w:sz w:val="20"/>
          </w:rPr>
          <w:fldChar w:fldCharType="separate"/>
        </w:r>
        <w:r w:rsidR="009837E6">
          <w:rPr>
            <w:bCs/>
            <w:noProof/>
            <w:sz w:val="20"/>
          </w:rPr>
          <w:t>5</w:t>
        </w:r>
        <w:r w:rsidRPr="009F39F3">
          <w:rPr>
            <w:bCs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417" w:rsidRDefault="00857417" w:rsidP="00A14DAA">
      <w:pPr>
        <w:spacing w:after="0" w:line="240" w:lineRule="auto"/>
      </w:pPr>
      <w:r>
        <w:separator/>
      </w:r>
    </w:p>
  </w:footnote>
  <w:footnote w:type="continuationSeparator" w:id="0">
    <w:p w:rsidR="00857417" w:rsidRDefault="00857417" w:rsidP="00A14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908" w:rsidRDefault="00200908" w:rsidP="00A14DAA">
    <w:pPr>
      <w:pStyle w:val="Header"/>
      <w:ind w:right="-73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06F5"/>
    <w:multiLevelType w:val="hybridMultilevel"/>
    <w:tmpl w:val="120A67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1537"/>
    <w:multiLevelType w:val="hybridMultilevel"/>
    <w:tmpl w:val="390C0B2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E9B"/>
    <w:multiLevelType w:val="hybridMultilevel"/>
    <w:tmpl w:val="84C62DC4"/>
    <w:lvl w:ilvl="0" w:tplc="E1BEB47C">
      <w:numFmt w:val="bullet"/>
      <w:lvlText w:val="–"/>
      <w:lvlJc w:val="left"/>
      <w:pPr>
        <w:ind w:left="645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09B33CD7"/>
    <w:multiLevelType w:val="hybridMultilevel"/>
    <w:tmpl w:val="ABA8D00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A1C22"/>
    <w:multiLevelType w:val="hybridMultilevel"/>
    <w:tmpl w:val="29F26E2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C392B"/>
    <w:multiLevelType w:val="hybridMultilevel"/>
    <w:tmpl w:val="AA1461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F1728"/>
    <w:multiLevelType w:val="hybridMultilevel"/>
    <w:tmpl w:val="EB024D96"/>
    <w:lvl w:ilvl="0" w:tplc="C9460E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2137"/>
    <w:multiLevelType w:val="hybridMultilevel"/>
    <w:tmpl w:val="210C13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F5B0F"/>
    <w:multiLevelType w:val="hybridMultilevel"/>
    <w:tmpl w:val="84F88D9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B5F8F"/>
    <w:multiLevelType w:val="hybridMultilevel"/>
    <w:tmpl w:val="613E0F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72974"/>
    <w:multiLevelType w:val="hybridMultilevel"/>
    <w:tmpl w:val="E80216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5793F"/>
    <w:multiLevelType w:val="hybridMultilevel"/>
    <w:tmpl w:val="777EAB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70D8B"/>
    <w:multiLevelType w:val="hybridMultilevel"/>
    <w:tmpl w:val="ED3E1C5C"/>
    <w:lvl w:ilvl="0" w:tplc="76783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47707"/>
    <w:multiLevelType w:val="hybridMultilevel"/>
    <w:tmpl w:val="2A7C43D6"/>
    <w:lvl w:ilvl="0" w:tplc="B7F49B18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7F7F7F" w:themeColor="text1" w:themeTint="80"/>
        <w:sz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C3CEE"/>
    <w:multiLevelType w:val="hybridMultilevel"/>
    <w:tmpl w:val="51FE09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656BD"/>
    <w:multiLevelType w:val="hybridMultilevel"/>
    <w:tmpl w:val="C0121F5E"/>
    <w:lvl w:ilvl="0" w:tplc="76DC7108">
      <w:start w:val="1"/>
      <w:numFmt w:val="bullet"/>
      <w:lvlText w:val="‒"/>
      <w:lvlJc w:val="left"/>
      <w:pPr>
        <w:ind w:left="720" w:hanging="360"/>
      </w:pPr>
      <w:rPr>
        <w:rFonts w:ascii="Courier New" w:hAnsi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E55E8"/>
    <w:multiLevelType w:val="hybridMultilevel"/>
    <w:tmpl w:val="C366CB3A"/>
    <w:lvl w:ilvl="0" w:tplc="56C67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A31AD"/>
    <w:multiLevelType w:val="hybridMultilevel"/>
    <w:tmpl w:val="751416B0"/>
    <w:lvl w:ilvl="0" w:tplc="B49E8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11BF0"/>
    <w:multiLevelType w:val="hybridMultilevel"/>
    <w:tmpl w:val="931E8722"/>
    <w:lvl w:ilvl="0" w:tplc="CA34B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15E72"/>
    <w:multiLevelType w:val="hybridMultilevel"/>
    <w:tmpl w:val="210C13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01E33"/>
    <w:multiLevelType w:val="hybridMultilevel"/>
    <w:tmpl w:val="847031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150FF"/>
    <w:multiLevelType w:val="hybridMultilevel"/>
    <w:tmpl w:val="0EC6FD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45DB3"/>
    <w:multiLevelType w:val="hybridMultilevel"/>
    <w:tmpl w:val="29F26E2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C1A4B"/>
    <w:multiLevelType w:val="hybridMultilevel"/>
    <w:tmpl w:val="B7F0F82C"/>
    <w:lvl w:ilvl="0" w:tplc="9C46C7C0">
      <w:start w:val="1"/>
      <w:numFmt w:val="decimal"/>
      <w:lvlText w:val="23.1.%1"/>
      <w:lvlJc w:val="left"/>
      <w:pPr>
        <w:ind w:left="720" w:hanging="360"/>
      </w:pPr>
      <w:rPr>
        <w:rFonts w:hint="default"/>
        <w:color w:val="7F7F7F" w:themeColor="text1" w:themeTint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A1F05"/>
    <w:multiLevelType w:val="hybridMultilevel"/>
    <w:tmpl w:val="578E4F14"/>
    <w:lvl w:ilvl="0" w:tplc="13143A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16"/>
        <w:szCs w:val="16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737AB"/>
    <w:multiLevelType w:val="hybridMultilevel"/>
    <w:tmpl w:val="D912194C"/>
    <w:lvl w:ilvl="0" w:tplc="421EE9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15DDC"/>
    <w:multiLevelType w:val="hybridMultilevel"/>
    <w:tmpl w:val="2C5E64EE"/>
    <w:lvl w:ilvl="0" w:tplc="97646AF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7F7F7F" w:themeColor="text1" w:themeTint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331CC"/>
    <w:multiLevelType w:val="hybridMultilevel"/>
    <w:tmpl w:val="16C030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21868"/>
    <w:multiLevelType w:val="hybridMultilevel"/>
    <w:tmpl w:val="E99CC4EC"/>
    <w:lvl w:ilvl="0" w:tplc="B7F49B18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7F7F7F" w:themeColor="text1" w:themeTint="80"/>
        <w:sz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A314C"/>
    <w:multiLevelType w:val="hybridMultilevel"/>
    <w:tmpl w:val="CC3A72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A25FB"/>
    <w:multiLevelType w:val="hybridMultilevel"/>
    <w:tmpl w:val="984AFD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C51FC"/>
    <w:multiLevelType w:val="hybridMultilevel"/>
    <w:tmpl w:val="E0E8E34C"/>
    <w:lvl w:ilvl="0" w:tplc="78388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917A3"/>
    <w:multiLevelType w:val="hybridMultilevel"/>
    <w:tmpl w:val="F81AAAF4"/>
    <w:lvl w:ilvl="0" w:tplc="AAA88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5"/>
  </w:num>
  <w:num w:numId="4">
    <w:abstractNumId w:val="10"/>
  </w:num>
  <w:num w:numId="5">
    <w:abstractNumId w:val="3"/>
  </w:num>
  <w:num w:numId="6">
    <w:abstractNumId w:val="20"/>
  </w:num>
  <w:num w:numId="7">
    <w:abstractNumId w:val="19"/>
  </w:num>
  <w:num w:numId="8">
    <w:abstractNumId w:val="9"/>
  </w:num>
  <w:num w:numId="9">
    <w:abstractNumId w:val="30"/>
  </w:num>
  <w:num w:numId="10">
    <w:abstractNumId w:val="11"/>
  </w:num>
  <w:num w:numId="11">
    <w:abstractNumId w:val="31"/>
  </w:num>
  <w:num w:numId="12">
    <w:abstractNumId w:val="22"/>
  </w:num>
  <w:num w:numId="13">
    <w:abstractNumId w:val="17"/>
  </w:num>
  <w:num w:numId="14">
    <w:abstractNumId w:val="32"/>
  </w:num>
  <w:num w:numId="15">
    <w:abstractNumId w:val="0"/>
  </w:num>
  <w:num w:numId="16">
    <w:abstractNumId w:val="21"/>
  </w:num>
  <w:num w:numId="17">
    <w:abstractNumId w:val="24"/>
  </w:num>
  <w:num w:numId="18">
    <w:abstractNumId w:val="27"/>
  </w:num>
  <w:num w:numId="19">
    <w:abstractNumId w:val="25"/>
  </w:num>
  <w:num w:numId="20">
    <w:abstractNumId w:val="26"/>
  </w:num>
  <w:num w:numId="21">
    <w:abstractNumId w:val="13"/>
  </w:num>
  <w:num w:numId="22">
    <w:abstractNumId w:val="14"/>
  </w:num>
  <w:num w:numId="23">
    <w:abstractNumId w:val="2"/>
  </w:num>
  <w:num w:numId="24">
    <w:abstractNumId w:val="1"/>
  </w:num>
  <w:num w:numId="25">
    <w:abstractNumId w:val="28"/>
  </w:num>
  <w:num w:numId="26">
    <w:abstractNumId w:val="23"/>
  </w:num>
  <w:num w:numId="27">
    <w:abstractNumId w:val="4"/>
  </w:num>
  <w:num w:numId="28">
    <w:abstractNumId w:val="16"/>
  </w:num>
  <w:num w:numId="29">
    <w:abstractNumId w:val="7"/>
  </w:num>
  <w:num w:numId="30">
    <w:abstractNumId w:val="8"/>
  </w:num>
  <w:num w:numId="31">
    <w:abstractNumId w:val="6"/>
  </w:num>
  <w:num w:numId="32">
    <w:abstractNumId w:val="1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81"/>
    <w:rsid w:val="00000DB7"/>
    <w:rsid w:val="00002AB3"/>
    <w:rsid w:val="00006235"/>
    <w:rsid w:val="00012BC8"/>
    <w:rsid w:val="00014378"/>
    <w:rsid w:val="0001711E"/>
    <w:rsid w:val="0001791C"/>
    <w:rsid w:val="00021568"/>
    <w:rsid w:val="00021D7E"/>
    <w:rsid w:val="000314C7"/>
    <w:rsid w:val="00031819"/>
    <w:rsid w:val="00033B23"/>
    <w:rsid w:val="000346DA"/>
    <w:rsid w:val="00037D39"/>
    <w:rsid w:val="000406B2"/>
    <w:rsid w:val="00042EA2"/>
    <w:rsid w:val="00043D10"/>
    <w:rsid w:val="000532B8"/>
    <w:rsid w:val="000618EE"/>
    <w:rsid w:val="000627F5"/>
    <w:rsid w:val="00062D82"/>
    <w:rsid w:val="00074222"/>
    <w:rsid w:val="00095B91"/>
    <w:rsid w:val="000A4666"/>
    <w:rsid w:val="000B11CD"/>
    <w:rsid w:val="000B2DFD"/>
    <w:rsid w:val="000B3247"/>
    <w:rsid w:val="000C42CC"/>
    <w:rsid w:val="000D13CC"/>
    <w:rsid w:val="000D21A5"/>
    <w:rsid w:val="000D2D37"/>
    <w:rsid w:val="000E042A"/>
    <w:rsid w:val="000E0D9C"/>
    <w:rsid w:val="000E0EA3"/>
    <w:rsid w:val="000E2673"/>
    <w:rsid w:val="000E439C"/>
    <w:rsid w:val="000E515F"/>
    <w:rsid w:val="000E5E7C"/>
    <w:rsid w:val="000F16F5"/>
    <w:rsid w:val="000F45DF"/>
    <w:rsid w:val="000F70F7"/>
    <w:rsid w:val="00102FDE"/>
    <w:rsid w:val="00103C86"/>
    <w:rsid w:val="00110044"/>
    <w:rsid w:val="0011158C"/>
    <w:rsid w:val="00111B16"/>
    <w:rsid w:val="00115484"/>
    <w:rsid w:val="001164A7"/>
    <w:rsid w:val="0011710D"/>
    <w:rsid w:val="00117D5E"/>
    <w:rsid w:val="00120874"/>
    <w:rsid w:val="00121E46"/>
    <w:rsid w:val="00130984"/>
    <w:rsid w:val="00133C4B"/>
    <w:rsid w:val="0013462F"/>
    <w:rsid w:val="00137401"/>
    <w:rsid w:val="001464AD"/>
    <w:rsid w:val="0015133D"/>
    <w:rsid w:val="00152012"/>
    <w:rsid w:val="0015611B"/>
    <w:rsid w:val="0015628C"/>
    <w:rsid w:val="00156AF0"/>
    <w:rsid w:val="001571B8"/>
    <w:rsid w:val="001621A9"/>
    <w:rsid w:val="00162D9B"/>
    <w:rsid w:val="00163B00"/>
    <w:rsid w:val="00165167"/>
    <w:rsid w:val="00166BA3"/>
    <w:rsid w:val="001670E4"/>
    <w:rsid w:val="00170EE2"/>
    <w:rsid w:val="00171B4F"/>
    <w:rsid w:val="00172094"/>
    <w:rsid w:val="0017249D"/>
    <w:rsid w:val="00173BFD"/>
    <w:rsid w:val="00177B5B"/>
    <w:rsid w:val="001837C6"/>
    <w:rsid w:val="00185426"/>
    <w:rsid w:val="00185C1E"/>
    <w:rsid w:val="00190512"/>
    <w:rsid w:val="00190F5B"/>
    <w:rsid w:val="001925C4"/>
    <w:rsid w:val="0019407B"/>
    <w:rsid w:val="00197F16"/>
    <w:rsid w:val="001A1783"/>
    <w:rsid w:val="001A3435"/>
    <w:rsid w:val="001B5EF1"/>
    <w:rsid w:val="001B6B67"/>
    <w:rsid w:val="001B730A"/>
    <w:rsid w:val="001C2A1B"/>
    <w:rsid w:val="001D30AA"/>
    <w:rsid w:val="001D50AC"/>
    <w:rsid w:val="001D5EA5"/>
    <w:rsid w:val="001E055E"/>
    <w:rsid w:val="001E2509"/>
    <w:rsid w:val="001E5D1F"/>
    <w:rsid w:val="001F208F"/>
    <w:rsid w:val="001F4A80"/>
    <w:rsid w:val="001F6901"/>
    <w:rsid w:val="00200908"/>
    <w:rsid w:val="00203B32"/>
    <w:rsid w:val="002054BE"/>
    <w:rsid w:val="00207C81"/>
    <w:rsid w:val="00211ED3"/>
    <w:rsid w:val="002127AD"/>
    <w:rsid w:val="0021629F"/>
    <w:rsid w:val="00217B92"/>
    <w:rsid w:val="00217DB2"/>
    <w:rsid w:val="00224EA0"/>
    <w:rsid w:val="00227EA4"/>
    <w:rsid w:val="002311F6"/>
    <w:rsid w:val="0023137B"/>
    <w:rsid w:val="0023177A"/>
    <w:rsid w:val="00234DBB"/>
    <w:rsid w:val="00241F9F"/>
    <w:rsid w:val="00244DC7"/>
    <w:rsid w:val="00245921"/>
    <w:rsid w:val="00247B36"/>
    <w:rsid w:val="0025314A"/>
    <w:rsid w:val="00253165"/>
    <w:rsid w:val="00261158"/>
    <w:rsid w:val="00261A95"/>
    <w:rsid w:val="0026401F"/>
    <w:rsid w:val="00264A04"/>
    <w:rsid w:val="00264B29"/>
    <w:rsid w:val="00270915"/>
    <w:rsid w:val="00271666"/>
    <w:rsid w:val="002733D6"/>
    <w:rsid w:val="00275C6F"/>
    <w:rsid w:val="0027627F"/>
    <w:rsid w:val="00277CA0"/>
    <w:rsid w:val="00282304"/>
    <w:rsid w:val="0028338A"/>
    <w:rsid w:val="00295DF6"/>
    <w:rsid w:val="002A04CE"/>
    <w:rsid w:val="002A1718"/>
    <w:rsid w:val="002B0387"/>
    <w:rsid w:val="002C3BF2"/>
    <w:rsid w:val="002C7D4F"/>
    <w:rsid w:val="002D033F"/>
    <w:rsid w:val="002D2D29"/>
    <w:rsid w:val="002D3A05"/>
    <w:rsid w:val="002D4338"/>
    <w:rsid w:val="002F2319"/>
    <w:rsid w:val="002F6037"/>
    <w:rsid w:val="002F7A7E"/>
    <w:rsid w:val="00302949"/>
    <w:rsid w:val="00302FA2"/>
    <w:rsid w:val="00304306"/>
    <w:rsid w:val="003079B4"/>
    <w:rsid w:val="00311E80"/>
    <w:rsid w:val="00313F27"/>
    <w:rsid w:val="003160CE"/>
    <w:rsid w:val="0032573B"/>
    <w:rsid w:val="00327821"/>
    <w:rsid w:val="003309EB"/>
    <w:rsid w:val="00331582"/>
    <w:rsid w:val="00331ACB"/>
    <w:rsid w:val="003335FA"/>
    <w:rsid w:val="0034280D"/>
    <w:rsid w:val="0036350E"/>
    <w:rsid w:val="003638B2"/>
    <w:rsid w:val="00364ECA"/>
    <w:rsid w:val="0037029B"/>
    <w:rsid w:val="003761A1"/>
    <w:rsid w:val="00377461"/>
    <w:rsid w:val="00386E02"/>
    <w:rsid w:val="003924B4"/>
    <w:rsid w:val="0039454E"/>
    <w:rsid w:val="00395D84"/>
    <w:rsid w:val="00396070"/>
    <w:rsid w:val="003A04C8"/>
    <w:rsid w:val="003A2686"/>
    <w:rsid w:val="003A27ED"/>
    <w:rsid w:val="003A3C9C"/>
    <w:rsid w:val="003B09C4"/>
    <w:rsid w:val="003B678F"/>
    <w:rsid w:val="003B688A"/>
    <w:rsid w:val="003B6AA7"/>
    <w:rsid w:val="003C055A"/>
    <w:rsid w:val="003D04C9"/>
    <w:rsid w:val="003D1547"/>
    <w:rsid w:val="003D17F5"/>
    <w:rsid w:val="003D397E"/>
    <w:rsid w:val="003D44E1"/>
    <w:rsid w:val="003E0B9E"/>
    <w:rsid w:val="003E2596"/>
    <w:rsid w:val="003E53FD"/>
    <w:rsid w:val="003E67E3"/>
    <w:rsid w:val="003E7EBB"/>
    <w:rsid w:val="003F151E"/>
    <w:rsid w:val="00400CA2"/>
    <w:rsid w:val="00407416"/>
    <w:rsid w:val="004107ED"/>
    <w:rsid w:val="00412224"/>
    <w:rsid w:val="00412582"/>
    <w:rsid w:val="00415E9F"/>
    <w:rsid w:val="00421BD7"/>
    <w:rsid w:val="00424115"/>
    <w:rsid w:val="0043159A"/>
    <w:rsid w:val="00453614"/>
    <w:rsid w:val="00455AB0"/>
    <w:rsid w:val="00460441"/>
    <w:rsid w:val="004712F1"/>
    <w:rsid w:val="004743B4"/>
    <w:rsid w:val="00475F39"/>
    <w:rsid w:val="00491D29"/>
    <w:rsid w:val="0049453C"/>
    <w:rsid w:val="00494C26"/>
    <w:rsid w:val="00494F19"/>
    <w:rsid w:val="00495E0D"/>
    <w:rsid w:val="004A2F68"/>
    <w:rsid w:val="004A58A0"/>
    <w:rsid w:val="004A5CC0"/>
    <w:rsid w:val="004B339F"/>
    <w:rsid w:val="004B375C"/>
    <w:rsid w:val="004B510C"/>
    <w:rsid w:val="004B6097"/>
    <w:rsid w:val="004B6A01"/>
    <w:rsid w:val="004C4972"/>
    <w:rsid w:val="004C4E67"/>
    <w:rsid w:val="004C704D"/>
    <w:rsid w:val="004D0B72"/>
    <w:rsid w:val="004D3C8C"/>
    <w:rsid w:val="004D5764"/>
    <w:rsid w:val="004D60D1"/>
    <w:rsid w:val="004D7231"/>
    <w:rsid w:val="004E2D68"/>
    <w:rsid w:val="004E7D67"/>
    <w:rsid w:val="004F017A"/>
    <w:rsid w:val="004F401F"/>
    <w:rsid w:val="004F5E48"/>
    <w:rsid w:val="004F6C6A"/>
    <w:rsid w:val="0050487B"/>
    <w:rsid w:val="00513C86"/>
    <w:rsid w:val="00522385"/>
    <w:rsid w:val="005224F8"/>
    <w:rsid w:val="00527AE4"/>
    <w:rsid w:val="0053029A"/>
    <w:rsid w:val="00532692"/>
    <w:rsid w:val="00540AFE"/>
    <w:rsid w:val="00542AE0"/>
    <w:rsid w:val="00546061"/>
    <w:rsid w:val="00547C42"/>
    <w:rsid w:val="0055090A"/>
    <w:rsid w:val="005539AB"/>
    <w:rsid w:val="00557A2F"/>
    <w:rsid w:val="00562ED4"/>
    <w:rsid w:val="00564A4A"/>
    <w:rsid w:val="00564FB5"/>
    <w:rsid w:val="00566209"/>
    <w:rsid w:val="00580894"/>
    <w:rsid w:val="00584AB2"/>
    <w:rsid w:val="005868E8"/>
    <w:rsid w:val="00586CE3"/>
    <w:rsid w:val="00587FEC"/>
    <w:rsid w:val="00590113"/>
    <w:rsid w:val="00591967"/>
    <w:rsid w:val="0059218A"/>
    <w:rsid w:val="00593332"/>
    <w:rsid w:val="00596E9C"/>
    <w:rsid w:val="005A5C5B"/>
    <w:rsid w:val="005A5DA8"/>
    <w:rsid w:val="005A66D3"/>
    <w:rsid w:val="005A6C95"/>
    <w:rsid w:val="005B21ED"/>
    <w:rsid w:val="005B2BDA"/>
    <w:rsid w:val="005B2C46"/>
    <w:rsid w:val="005B56E7"/>
    <w:rsid w:val="005B5A9D"/>
    <w:rsid w:val="005B6A45"/>
    <w:rsid w:val="005B7974"/>
    <w:rsid w:val="005C24DA"/>
    <w:rsid w:val="005C2E78"/>
    <w:rsid w:val="005D037D"/>
    <w:rsid w:val="005D17B0"/>
    <w:rsid w:val="005D291E"/>
    <w:rsid w:val="005D63FD"/>
    <w:rsid w:val="005E1170"/>
    <w:rsid w:val="005E3029"/>
    <w:rsid w:val="005E4454"/>
    <w:rsid w:val="005E4975"/>
    <w:rsid w:val="005F0494"/>
    <w:rsid w:val="005F0CAD"/>
    <w:rsid w:val="005F30E6"/>
    <w:rsid w:val="005F664D"/>
    <w:rsid w:val="006005C8"/>
    <w:rsid w:val="00605387"/>
    <w:rsid w:val="006065C1"/>
    <w:rsid w:val="00610C33"/>
    <w:rsid w:val="00610EDC"/>
    <w:rsid w:val="00612619"/>
    <w:rsid w:val="00614BC4"/>
    <w:rsid w:val="00623703"/>
    <w:rsid w:val="00625DB5"/>
    <w:rsid w:val="00632EDA"/>
    <w:rsid w:val="006331D4"/>
    <w:rsid w:val="00633CC8"/>
    <w:rsid w:val="00635F6D"/>
    <w:rsid w:val="006360A3"/>
    <w:rsid w:val="006368F3"/>
    <w:rsid w:val="00637962"/>
    <w:rsid w:val="00640963"/>
    <w:rsid w:val="0064306D"/>
    <w:rsid w:val="00650943"/>
    <w:rsid w:val="006518F8"/>
    <w:rsid w:val="00654716"/>
    <w:rsid w:val="00654FA8"/>
    <w:rsid w:val="00656A6F"/>
    <w:rsid w:val="006575F9"/>
    <w:rsid w:val="006640E2"/>
    <w:rsid w:val="00673C3C"/>
    <w:rsid w:val="006740D0"/>
    <w:rsid w:val="00675315"/>
    <w:rsid w:val="00680132"/>
    <w:rsid w:val="00681970"/>
    <w:rsid w:val="00682085"/>
    <w:rsid w:val="00683444"/>
    <w:rsid w:val="00685A17"/>
    <w:rsid w:val="00690CF6"/>
    <w:rsid w:val="006A31B7"/>
    <w:rsid w:val="006A3375"/>
    <w:rsid w:val="006B0983"/>
    <w:rsid w:val="006B1B68"/>
    <w:rsid w:val="006B433A"/>
    <w:rsid w:val="006B569E"/>
    <w:rsid w:val="006C0715"/>
    <w:rsid w:val="006C098D"/>
    <w:rsid w:val="006C1B87"/>
    <w:rsid w:val="006C42B1"/>
    <w:rsid w:val="006D0C56"/>
    <w:rsid w:val="006D2CEC"/>
    <w:rsid w:val="006D6D91"/>
    <w:rsid w:val="006E2DDA"/>
    <w:rsid w:val="006E5F99"/>
    <w:rsid w:val="006E7F50"/>
    <w:rsid w:val="006F2C1C"/>
    <w:rsid w:val="006F32B7"/>
    <w:rsid w:val="006F40C2"/>
    <w:rsid w:val="006F4580"/>
    <w:rsid w:val="006F7194"/>
    <w:rsid w:val="00705FC5"/>
    <w:rsid w:val="00706126"/>
    <w:rsid w:val="00706732"/>
    <w:rsid w:val="00711C57"/>
    <w:rsid w:val="00717670"/>
    <w:rsid w:val="00725396"/>
    <w:rsid w:val="007376EE"/>
    <w:rsid w:val="0074023D"/>
    <w:rsid w:val="007520CB"/>
    <w:rsid w:val="00752FAB"/>
    <w:rsid w:val="00756C9D"/>
    <w:rsid w:val="0076169C"/>
    <w:rsid w:val="007649F3"/>
    <w:rsid w:val="0077701A"/>
    <w:rsid w:val="00784719"/>
    <w:rsid w:val="00784C4F"/>
    <w:rsid w:val="00791562"/>
    <w:rsid w:val="0079601B"/>
    <w:rsid w:val="007976EB"/>
    <w:rsid w:val="007A14BE"/>
    <w:rsid w:val="007A2231"/>
    <w:rsid w:val="007B14FF"/>
    <w:rsid w:val="007B1773"/>
    <w:rsid w:val="007B3D47"/>
    <w:rsid w:val="007C018C"/>
    <w:rsid w:val="007C1CDF"/>
    <w:rsid w:val="007C4D9C"/>
    <w:rsid w:val="007C5CE3"/>
    <w:rsid w:val="007C7B57"/>
    <w:rsid w:val="007D0311"/>
    <w:rsid w:val="007D578E"/>
    <w:rsid w:val="007D58FD"/>
    <w:rsid w:val="007D5E93"/>
    <w:rsid w:val="007D793B"/>
    <w:rsid w:val="007F3787"/>
    <w:rsid w:val="007F5400"/>
    <w:rsid w:val="007F65BE"/>
    <w:rsid w:val="007F6CB8"/>
    <w:rsid w:val="007F6E0B"/>
    <w:rsid w:val="007F6F9D"/>
    <w:rsid w:val="00802096"/>
    <w:rsid w:val="00804CCD"/>
    <w:rsid w:val="0080794E"/>
    <w:rsid w:val="0081149C"/>
    <w:rsid w:val="00811B18"/>
    <w:rsid w:val="00812828"/>
    <w:rsid w:val="008128D7"/>
    <w:rsid w:val="0081761D"/>
    <w:rsid w:val="00831813"/>
    <w:rsid w:val="00837378"/>
    <w:rsid w:val="00847311"/>
    <w:rsid w:val="00850233"/>
    <w:rsid w:val="00850FD5"/>
    <w:rsid w:val="00851C5B"/>
    <w:rsid w:val="00854A88"/>
    <w:rsid w:val="0085719D"/>
    <w:rsid w:val="00857417"/>
    <w:rsid w:val="00860011"/>
    <w:rsid w:val="00862300"/>
    <w:rsid w:val="00863C68"/>
    <w:rsid w:val="00865A81"/>
    <w:rsid w:val="0087198B"/>
    <w:rsid w:val="00871D1B"/>
    <w:rsid w:val="00877204"/>
    <w:rsid w:val="00882571"/>
    <w:rsid w:val="008917EA"/>
    <w:rsid w:val="00893371"/>
    <w:rsid w:val="00894BD6"/>
    <w:rsid w:val="008969AD"/>
    <w:rsid w:val="00897B40"/>
    <w:rsid w:val="00897EF8"/>
    <w:rsid w:val="008A3E89"/>
    <w:rsid w:val="008A404D"/>
    <w:rsid w:val="008A7988"/>
    <w:rsid w:val="008B0998"/>
    <w:rsid w:val="008B1230"/>
    <w:rsid w:val="008B1D57"/>
    <w:rsid w:val="008B4EAC"/>
    <w:rsid w:val="008B62B3"/>
    <w:rsid w:val="008B6DC5"/>
    <w:rsid w:val="008C0456"/>
    <w:rsid w:val="008C0BB9"/>
    <w:rsid w:val="008C18A4"/>
    <w:rsid w:val="008C207B"/>
    <w:rsid w:val="008D2377"/>
    <w:rsid w:val="008D4D4A"/>
    <w:rsid w:val="008D5CD7"/>
    <w:rsid w:val="008F168C"/>
    <w:rsid w:val="008F1CA9"/>
    <w:rsid w:val="008F2399"/>
    <w:rsid w:val="008F5050"/>
    <w:rsid w:val="008F63E3"/>
    <w:rsid w:val="008F7F5E"/>
    <w:rsid w:val="00900586"/>
    <w:rsid w:val="00902B9D"/>
    <w:rsid w:val="009043F5"/>
    <w:rsid w:val="0090620A"/>
    <w:rsid w:val="0091239A"/>
    <w:rsid w:val="00922E4C"/>
    <w:rsid w:val="00925C6F"/>
    <w:rsid w:val="00926C8C"/>
    <w:rsid w:val="00927B85"/>
    <w:rsid w:val="009312D5"/>
    <w:rsid w:val="009326B0"/>
    <w:rsid w:val="0093275B"/>
    <w:rsid w:val="0093276A"/>
    <w:rsid w:val="009338D7"/>
    <w:rsid w:val="009341E4"/>
    <w:rsid w:val="0093550D"/>
    <w:rsid w:val="009369CC"/>
    <w:rsid w:val="00936A2F"/>
    <w:rsid w:val="00937DB2"/>
    <w:rsid w:val="00944226"/>
    <w:rsid w:val="00951001"/>
    <w:rsid w:val="009510C5"/>
    <w:rsid w:val="00952ED4"/>
    <w:rsid w:val="00953B17"/>
    <w:rsid w:val="00954237"/>
    <w:rsid w:val="00956DDD"/>
    <w:rsid w:val="00963315"/>
    <w:rsid w:val="0096479D"/>
    <w:rsid w:val="00964D5B"/>
    <w:rsid w:val="00965679"/>
    <w:rsid w:val="00972A64"/>
    <w:rsid w:val="00974089"/>
    <w:rsid w:val="0098036C"/>
    <w:rsid w:val="00980570"/>
    <w:rsid w:val="00981E70"/>
    <w:rsid w:val="00982709"/>
    <w:rsid w:val="00982FCB"/>
    <w:rsid w:val="009837E6"/>
    <w:rsid w:val="00984F23"/>
    <w:rsid w:val="009856F6"/>
    <w:rsid w:val="00987733"/>
    <w:rsid w:val="009904A7"/>
    <w:rsid w:val="0099214C"/>
    <w:rsid w:val="00992C92"/>
    <w:rsid w:val="00994FD6"/>
    <w:rsid w:val="009963A9"/>
    <w:rsid w:val="009A068F"/>
    <w:rsid w:val="009A4177"/>
    <w:rsid w:val="009B1243"/>
    <w:rsid w:val="009B14F8"/>
    <w:rsid w:val="009B375A"/>
    <w:rsid w:val="009B76FA"/>
    <w:rsid w:val="009B7FA8"/>
    <w:rsid w:val="009C2BDB"/>
    <w:rsid w:val="009C3D93"/>
    <w:rsid w:val="009C4C41"/>
    <w:rsid w:val="009C73CF"/>
    <w:rsid w:val="009D3250"/>
    <w:rsid w:val="009F422C"/>
    <w:rsid w:val="009F5B0A"/>
    <w:rsid w:val="009F6F75"/>
    <w:rsid w:val="00A012EB"/>
    <w:rsid w:val="00A013CB"/>
    <w:rsid w:val="00A020CB"/>
    <w:rsid w:val="00A0527B"/>
    <w:rsid w:val="00A12EBC"/>
    <w:rsid w:val="00A14DAA"/>
    <w:rsid w:val="00A26809"/>
    <w:rsid w:val="00A308F6"/>
    <w:rsid w:val="00A40501"/>
    <w:rsid w:val="00A40B9A"/>
    <w:rsid w:val="00A41715"/>
    <w:rsid w:val="00A4692E"/>
    <w:rsid w:val="00A5261E"/>
    <w:rsid w:val="00A52A60"/>
    <w:rsid w:val="00A53052"/>
    <w:rsid w:val="00A54FB1"/>
    <w:rsid w:val="00A572E3"/>
    <w:rsid w:val="00A64CE8"/>
    <w:rsid w:val="00A72149"/>
    <w:rsid w:val="00A8526F"/>
    <w:rsid w:val="00A90091"/>
    <w:rsid w:val="00A91B63"/>
    <w:rsid w:val="00A92687"/>
    <w:rsid w:val="00A963EA"/>
    <w:rsid w:val="00AA1B4F"/>
    <w:rsid w:val="00AA227F"/>
    <w:rsid w:val="00AA4B84"/>
    <w:rsid w:val="00AB550F"/>
    <w:rsid w:val="00AB5FCC"/>
    <w:rsid w:val="00AB74DD"/>
    <w:rsid w:val="00AC2CD9"/>
    <w:rsid w:val="00AC5862"/>
    <w:rsid w:val="00AD1DA1"/>
    <w:rsid w:val="00AD613A"/>
    <w:rsid w:val="00AD7D00"/>
    <w:rsid w:val="00AE09CD"/>
    <w:rsid w:val="00AE4486"/>
    <w:rsid w:val="00AE5944"/>
    <w:rsid w:val="00AF6CDD"/>
    <w:rsid w:val="00B00AE1"/>
    <w:rsid w:val="00B0560C"/>
    <w:rsid w:val="00B05F0D"/>
    <w:rsid w:val="00B06636"/>
    <w:rsid w:val="00B067C6"/>
    <w:rsid w:val="00B117BB"/>
    <w:rsid w:val="00B1258D"/>
    <w:rsid w:val="00B16AB2"/>
    <w:rsid w:val="00B223E6"/>
    <w:rsid w:val="00B305BB"/>
    <w:rsid w:val="00B44D92"/>
    <w:rsid w:val="00B44E57"/>
    <w:rsid w:val="00B50F78"/>
    <w:rsid w:val="00B52EE5"/>
    <w:rsid w:val="00B53C03"/>
    <w:rsid w:val="00B54126"/>
    <w:rsid w:val="00B57F54"/>
    <w:rsid w:val="00B6010A"/>
    <w:rsid w:val="00B60D7A"/>
    <w:rsid w:val="00B61910"/>
    <w:rsid w:val="00B6376F"/>
    <w:rsid w:val="00B6432B"/>
    <w:rsid w:val="00B71779"/>
    <w:rsid w:val="00B76917"/>
    <w:rsid w:val="00B83489"/>
    <w:rsid w:val="00B86154"/>
    <w:rsid w:val="00B914A5"/>
    <w:rsid w:val="00B91EBE"/>
    <w:rsid w:val="00B92A3C"/>
    <w:rsid w:val="00B9517F"/>
    <w:rsid w:val="00B96C79"/>
    <w:rsid w:val="00B96D83"/>
    <w:rsid w:val="00BA30D1"/>
    <w:rsid w:val="00BA6BC2"/>
    <w:rsid w:val="00BA7F9C"/>
    <w:rsid w:val="00BA7FE4"/>
    <w:rsid w:val="00BB615C"/>
    <w:rsid w:val="00BC697F"/>
    <w:rsid w:val="00BD12CA"/>
    <w:rsid w:val="00BD273B"/>
    <w:rsid w:val="00BD27EA"/>
    <w:rsid w:val="00BD4E7F"/>
    <w:rsid w:val="00BE2FAA"/>
    <w:rsid w:val="00BF115E"/>
    <w:rsid w:val="00BF27D4"/>
    <w:rsid w:val="00BF47BE"/>
    <w:rsid w:val="00BF7EDD"/>
    <w:rsid w:val="00C02604"/>
    <w:rsid w:val="00C066B9"/>
    <w:rsid w:val="00C069C0"/>
    <w:rsid w:val="00C113E0"/>
    <w:rsid w:val="00C12076"/>
    <w:rsid w:val="00C12AED"/>
    <w:rsid w:val="00C12E81"/>
    <w:rsid w:val="00C1319F"/>
    <w:rsid w:val="00C22261"/>
    <w:rsid w:val="00C45393"/>
    <w:rsid w:val="00C53EFA"/>
    <w:rsid w:val="00C5426B"/>
    <w:rsid w:val="00C54C0D"/>
    <w:rsid w:val="00C564DA"/>
    <w:rsid w:val="00C665BC"/>
    <w:rsid w:val="00C80609"/>
    <w:rsid w:val="00C830A4"/>
    <w:rsid w:val="00C83728"/>
    <w:rsid w:val="00C86469"/>
    <w:rsid w:val="00CA3609"/>
    <w:rsid w:val="00CA64AB"/>
    <w:rsid w:val="00CB7F7C"/>
    <w:rsid w:val="00CC4CF4"/>
    <w:rsid w:val="00CC6B2A"/>
    <w:rsid w:val="00CC7B25"/>
    <w:rsid w:val="00CD1834"/>
    <w:rsid w:val="00CD7012"/>
    <w:rsid w:val="00CD727F"/>
    <w:rsid w:val="00CD7657"/>
    <w:rsid w:val="00CE1B81"/>
    <w:rsid w:val="00CE2354"/>
    <w:rsid w:val="00CE25EB"/>
    <w:rsid w:val="00CF09D7"/>
    <w:rsid w:val="00CF4585"/>
    <w:rsid w:val="00CF4B76"/>
    <w:rsid w:val="00CF7069"/>
    <w:rsid w:val="00CF7194"/>
    <w:rsid w:val="00D065F3"/>
    <w:rsid w:val="00D072A4"/>
    <w:rsid w:val="00D11AD6"/>
    <w:rsid w:val="00D127E7"/>
    <w:rsid w:val="00D24DAD"/>
    <w:rsid w:val="00D308C3"/>
    <w:rsid w:val="00D31557"/>
    <w:rsid w:val="00D41CEB"/>
    <w:rsid w:val="00D506F4"/>
    <w:rsid w:val="00D50CB3"/>
    <w:rsid w:val="00D51C92"/>
    <w:rsid w:val="00D51E27"/>
    <w:rsid w:val="00D52237"/>
    <w:rsid w:val="00D52554"/>
    <w:rsid w:val="00D52CCF"/>
    <w:rsid w:val="00D558D8"/>
    <w:rsid w:val="00D561B3"/>
    <w:rsid w:val="00D5725F"/>
    <w:rsid w:val="00D57DE3"/>
    <w:rsid w:val="00D614B3"/>
    <w:rsid w:val="00D615BA"/>
    <w:rsid w:val="00D712C8"/>
    <w:rsid w:val="00D71FA9"/>
    <w:rsid w:val="00D74BE9"/>
    <w:rsid w:val="00D904DF"/>
    <w:rsid w:val="00D90D40"/>
    <w:rsid w:val="00D927BA"/>
    <w:rsid w:val="00D93617"/>
    <w:rsid w:val="00D9628E"/>
    <w:rsid w:val="00DA3A4F"/>
    <w:rsid w:val="00DA511B"/>
    <w:rsid w:val="00DB67A1"/>
    <w:rsid w:val="00DB742F"/>
    <w:rsid w:val="00DC1246"/>
    <w:rsid w:val="00DC577D"/>
    <w:rsid w:val="00DC6933"/>
    <w:rsid w:val="00DC6C9F"/>
    <w:rsid w:val="00DD0BC3"/>
    <w:rsid w:val="00DD2D1C"/>
    <w:rsid w:val="00DD6BFA"/>
    <w:rsid w:val="00DD7C3F"/>
    <w:rsid w:val="00DE383E"/>
    <w:rsid w:val="00DF0248"/>
    <w:rsid w:val="00DF2C69"/>
    <w:rsid w:val="00DF2F95"/>
    <w:rsid w:val="00DF3702"/>
    <w:rsid w:val="00DF5748"/>
    <w:rsid w:val="00DF6CFB"/>
    <w:rsid w:val="00E016CF"/>
    <w:rsid w:val="00E070E6"/>
    <w:rsid w:val="00E17563"/>
    <w:rsid w:val="00E218E8"/>
    <w:rsid w:val="00E22314"/>
    <w:rsid w:val="00E26DDC"/>
    <w:rsid w:val="00E31086"/>
    <w:rsid w:val="00E4162B"/>
    <w:rsid w:val="00E417D2"/>
    <w:rsid w:val="00E44DEF"/>
    <w:rsid w:val="00E6027B"/>
    <w:rsid w:val="00E606EF"/>
    <w:rsid w:val="00E60CB3"/>
    <w:rsid w:val="00E6425E"/>
    <w:rsid w:val="00E670A3"/>
    <w:rsid w:val="00E721D2"/>
    <w:rsid w:val="00E7345F"/>
    <w:rsid w:val="00E74911"/>
    <w:rsid w:val="00E75C00"/>
    <w:rsid w:val="00E7621D"/>
    <w:rsid w:val="00E808B2"/>
    <w:rsid w:val="00E82668"/>
    <w:rsid w:val="00E8378A"/>
    <w:rsid w:val="00E84884"/>
    <w:rsid w:val="00E874D7"/>
    <w:rsid w:val="00E92B0F"/>
    <w:rsid w:val="00E92D5C"/>
    <w:rsid w:val="00EA3E8A"/>
    <w:rsid w:val="00EA46B2"/>
    <w:rsid w:val="00EB030A"/>
    <w:rsid w:val="00EB1869"/>
    <w:rsid w:val="00EB3409"/>
    <w:rsid w:val="00EB3547"/>
    <w:rsid w:val="00EB4E70"/>
    <w:rsid w:val="00EB5235"/>
    <w:rsid w:val="00EB7DF9"/>
    <w:rsid w:val="00EC6BD4"/>
    <w:rsid w:val="00EC7ECB"/>
    <w:rsid w:val="00ED1DAF"/>
    <w:rsid w:val="00EE1DF2"/>
    <w:rsid w:val="00EE2F66"/>
    <w:rsid w:val="00EE4E91"/>
    <w:rsid w:val="00EE5FAA"/>
    <w:rsid w:val="00F02667"/>
    <w:rsid w:val="00F04F98"/>
    <w:rsid w:val="00F10EC9"/>
    <w:rsid w:val="00F15336"/>
    <w:rsid w:val="00F17E17"/>
    <w:rsid w:val="00F25688"/>
    <w:rsid w:val="00F2624E"/>
    <w:rsid w:val="00F27F43"/>
    <w:rsid w:val="00F3382B"/>
    <w:rsid w:val="00F3504F"/>
    <w:rsid w:val="00F40D52"/>
    <w:rsid w:val="00F41B95"/>
    <w:rsid w:val="00F46BC1"/>
    <w:rsid w:val="00F50191"/>
    <w:rsid w:val="00F52EC0"/>
    <w:rsid w:val="00F66214"/>
    <w:rsid w:val="00F77125"/>
    <w:rsid w:val="00F818B6"/>
    <w:rsid w:val="00F82B6D"/>
    <w:rsid w:val="00F84137"/>
    <w:rsid w:val="00F87E41"/>
    <w:rsid w:val="00F91DB2"/>
    <w:rsid w:val="00F95236"/>
    <w:rsid w:val="00F97BE8"/>
    <w:rsid w:val="00FA1198"/>
    <w:rsid w:val="00FA2699"/>
    <w:rsid w:val="00FA3E6B"/>
    <w:rsid w:val="00FA426C"/>
    <w:rsid w:val="00FA48B6"/>
    <w:rsid w:val="00FA4DBB"/>
    <w:rsid w:val="00FC3433"/>
    <w:rsid w:val="00FC516B"/>
    <w:rsid w:val="00FC58CC"/>
    <w:rsid w:val="00FD4743"/>
    <w:rsid w:val="00FD4781"/>
    <w:rsid w:val="00FE665F"/>
    <w:rsid w:val="00FF01B7"/>
    <w:rsid w:val="00FF59C1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F1AD8D-DD42-4CB3-ACC7-0DD988C6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E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4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DAA"/>
  </w:style>
  <w:style w:type="paragraph" w:styleId="Footer">
    <w:name w:val="footer"/>
    <w:basedOn w:val="Normal"/>
    <w:link w:val="FooterChar"/>
    <w:uiPriority w:val="99"/>
    <w:unhideWhenUsed/>
    <w:rsid w:val="00A14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DAA"/>
  </w:style>
  <w:style w:type="table" w:styleId="TableGrid">
    <w:name w:val="Table Grid"/>
    <w:basedOn w:val="TableNormal"/>
    <w:uiPriority w:val="39"/>
    <w:rsid w:val="0026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IABody">
    <w:name w:val="SAIA Body"/>
    <w:basedOn w:val="Normal"/>
    <w:qFormat/>
    <w:rsid w:val="002054BE"/>
    <w:pPr>
      <w:widowControl w:val="0"/>
      <w:suppressAutoHyphens/>
      <w:autoSpaceDE w:val="0"/>
      <w:autoSpaceDN w:val="0"/>
      <w:adjustRightInd w:val="0"/>
      <w:spacing w:after="110" w:line="288" w:lineRule="auto"/>
      <w:jc w:val="both"/>
      <w:textAlignment w:val="center"/>
    </w:pPr>
    <w:rPr>
      <w:rFonts w:ascii="Arial" w:eastAsiaTheme="minorEastAsia" w:hAnsi="Arial" w:cs="Arial-BoldMT"/>
      <w:bCs/>
      <w:spacing w:val="18"/>
      <w:sz w:val="18"/>
      <w:lang w:val="en-US"/>
    </w:rPr>
  </w:style>
  <w:style w:type="paragraph" w:customStyle="1" w:styleId="BasicParagraph">
    <w:name w:val="[Basic Paragraph]"/>
    <w:basedOn w:val="Normal"/>
    <w:uiPriority w:val="99"/>
    <w:rsid w:val="00A572E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264A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E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5FC27-A76C-4FD0-8A8D-99F09116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Paulsen</dc:creator>
  <cp:keywords/>
  <dc:description/>
  <cp:lastModifiedBy>Emile</cp:lastModifiedBy>
  <cp:revision>3</cp:revision>
  <cp:lastPrinted>2019-05-03T11:28:00Z</cp:lastPrinted>
  <dcterms:created xsi:type="dcterms:W3CDTF">2020-03-26T05:50:00Z</dcterms:created>
  <dcterms:modified xsi:type="dcterms:W3CDTF">2020-03-26T05:50:00Z</dcterms:modified>
</cp:coreProperties>
</file>